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CB80BB9" w14:textId="2AD8F718" w:rsidR="000F44FA" w:rsidRPr="00AC0C2B" w:rsidRDefault="00411C35" w:rsidP="0052063C">
      <w:pPr>
        <w:spacing w:line="276" w:lineRule="auto"/>
        <w:jc w:val="center"/>
        <w:rPr>
          <w:rFonts w:ascii="Times New Roman" w:hAnsi="Times New Roman"/>
          <w:b/>
          <w:szCs w:val="24"/>
        </w:rPr>
      </w:pPr>
      <w:bookmarkStart w:id="0" w:name="_GoBack"/>
      <w:bookmarkEnd w:id="0"/>
      <w:r w:rsidRPr="00AC0C2B">
        <w:rPr>
          <w:rFonts w:ascii="Times New Roman" w:hAnsi="Times New Roman"/>
          <w:b/>
          <w:szCs w:val="24"/>
        </w:rPr>
        <w:t xml:space="preserve">Drug </w:t>
      </w:r>
      <w:r w:rsidR="0020714B">
        <w:rPr>
          <w:rFonts w:ascii="Times New Roman" w:hAnsi="Times New Roman"/>
          <w:b/>
          <w:szCs w:val="24"/>
        </w:rPr>
        <w:t>Deals</w:t>
      </w:r>
      <w:r w:rsidR="00565C8B">
        <w:rPr>
          <w:rFonts w:ascii="Times New Roman" w:hAnsi="Times New Roman"/>
          <w:b/>
          <w:szCs w:val="24"/>
        </w:rPr>
        <w:t xml:space="preserve"> in Court</w:t>
      </w:r>
      <w:r w:rsidR="0020714B">
        <w:rPr>
          <w:rFonts w:ascii="Times New Roman" w:hAnsi="Times New Roman"/>
          <w:b/>
          <w:szCs w:val="24"/>
        </w:rPr>
        <w:t>?</w:t>
      </w:r>
      <w:r w:rsidR="000F44FA" w:rsidRPr="00AC0C2B">
        <w:rPr>
          <w:rFonts w:ascii="Times New Roman" w:hAnsi="Times New Roman"/>
          <w:b/>
          <w:szCs w:val="24"/>
        </w:rPr>
        <w:t xml:space="preserve"> </w:t>
      </w:r>
      <w:r w:rsidR="00DD03D3">
        <w:rPr>
          <w:rFonts w:ascii="Times New Roman" w:hAnsi="Times New Roman"/>
          <w:b/>
          <w:szCs w:val="24"/>
        </w:rPr>
        <w:t>The Anatomy of Puni</w:t>
      </w:r>
      <w:r w:rsidR="00BF09F5">
        <w:rPr>
          <w:rFonts w:ascii="Times New Roman" w:hAnsi="Times New Roman"/>
          <w:b/>
          <w:szCs w:val="24"/>
        </w:rPr>
        <w:t xml:space="preserve">shment </w:t>
      </w:r>
      <w:r w:rsidR="00DD03D3">
        <w:rPr>
          <w:rFonts w:ascii="Times New Roman" w:hAnsi="Times New Roman"/>
          <w:b/>
          <w:szCs w:val="24"/>
        </w:rPr>
        <w:t>in the Federal</w:t>
      </w:r>
      <w:r w:rsidR="00A82521">
        <w:rPr>
          <w:rFonts w:ascii="Times New Roman" w:hAnsi="Times New Roman"/>
          <w:b/>
          <w:szCs w:val="24"/>
        </w:rPr>
        <w:t xml:space="preserve"> Justice System</w:t>
      </w:r>
      <w:r w:rsidR="007D7A87" w:rsidRPr="00AC0C2B">
        <w:rPr>
          <w:rFonts w:ascii="Times New Roman" w:hAnsi="Times New Roman"/>
          <w:b/>
          <w:szCs w:val="24"/>
        </w:rPr>
        <w:t xml:space="preserve"> </w:t>
      </w:r>
      <w:r w:rsidR="00BF09F5">
        <w:rPr>
          <w:rFonts w:ascii="Times New Roman" w:hAnsi="Times New Roman"/>
          <w:b/>
          <w:szCs w:val="24"/>
        </w:rPr>
        <w:br/>
      </w:r>
      <w:r w:rsidR="007D7A87" w:rsidRPr="00AC0C2B">
        <w:rPr>
          <w:rFonts w:ascii="Times New Roman" w:hAnsi="Times New Roman"/>
          <w:b/>
          <w:szCs w:val="24"/>
        </w:rPr>
        <w:t>[Working title</w:t>
      </w:r>
      <w:r w:rsidR="00AC0C2B" w:rsidRPr="00AC0C2B">
        <w:rPr>
          <w:rFonts w:ascii="Times New Roman" w:hAnsi="Times New Roman"/>
          <w:b/>
          <w:szCs w:val="24"/>
        </w:rPr>
        <w:t>]</w:t>
      </w:r>
    </w:p>
    <w:p w14:paraId="6596A58F" w14:textId="77777777" w:rsidR="0052063C" w:rsidRDefault="0052063C" w:rsidP="00AC0C2B">
      <w:pPr>
        <w:rPr>
          <w:rFonts w:ascii="Times New Roman" w:hAnsi="Times New Roman"/>
          <w:szCs w:val="24"/>
        </w:rPr>
      </w:pPr>
    </w:p>
    <w:p w14:paraId="69952FA7" w14:textId="77777777" w:rsidR="00AC0C2B" w:rsidRPr="00AC0C2B" w:rsidRDefault="00AC0C2B" w:rsidP="00AC0C2B">
      <w:pPr>
        <w:rPr>
          <w:rFonts w:ascii="Times New Roman" w:hAnsi="Times New Roman"/>
          <w:szCs w:val="24"/>
        </w:rPr>
      </w:pPr>
      <w:r w:rsidRPr="00AC0C2B">
        <w:rPr>
          <w:rFonts w:ascii="Times New Roman" w:hAnsi="Times New Roman"/>
          <w:szCs w:val="24"/>
        </w:rPr>
        <w:t xml:space="preserve">Mona Lynch </w:t>
      </w:r>
    </w:p>
    <w:p w14:paraId="32C96A75" w14:textId="40EDB189" w:rsidR="00AC0C2B" w:rsidRPr="00AC0C2B" w:rsidRDefault="00AC0C2B" w:rsidP="00AC0C2B">
      <w:pPr>
        <w:rPr>
          <w:rFonts w:ascii="Times New Roman" w:hAnsi="Times New Roman"/>
          <w:szCs w:val="24"/>
        </w:rPr>
      </w:pPr>
      <w:r>
        <w:rPr>
          <w:rFonts w:ascii="Times New Roman" w:hAnsi="Times New Roman"/>
          <w:szCs w:val="24"/>
        </w:rPr>
        <w:t xml:space="preserve">Professor of </w:t>
      </w:r>
      <w:r w:rsidRPr="00AC0C2B">
        <w:rPr>
          <w:rFonts w:ascii="Times New Roman" w:hAnsi="Times New Roman"/>
          <w:szCs w:val="24"/>
        </w:rPr>
        <w:t>Criminology, Law &amp; Society</w:t>
      </w:r>
    </w:p>
    <w:p w14:paraId="21ED6BF1" w14:textId="77777777" w:rsidR="00AC0C2B" w:rsidRPr="00AC0C2B" w:rsidRDefault="00AC0C2B" w:rsidP="00AC0C2B">
      <w:pPr>
        <w:rPr>
          <w:rFonts w:ascii="Times New Roman" w:hAnsi="Times New Roman"/>
          <w:szCs w:val="24"/>
        </w:rPr>
      </w:pPr>
      <w:r w:rsidRPr="00AC0C2B">
        <w:rPr>
          <w:rFonts w:ascii="Times New Roman" w:hAnsi="Times New Roman"/>
          <w:szCs w:val="24"/>
        </w:rPr>
        <w:t>University of California, Irvine</w:t>
      </w:r>
    </w:p>
    <w:p w14:paraId="0095D067" w14:textId="56F2290D" w:rsidR="00AC0C2B" w:rsidRPr="00AC0C2B" w:rsidRDefault="00177B31" w:rsidP="00AC0C2B">
      <w:pPr>
        <w:rPr>
          <w:rFonts w:ascii="Times New Roman" w:hAnsi="Times New Roman"/>
          <w:szCs w:val="24"/>
        </w:rPr>
      </w:pPr>
      <w:hyperlink r:id="rId7" w:history="1">
        <w:r w:rsidR="00AC0C2B" w:rsidRPr="00AC0C2B">
          <w:rPr>
            <w:rStyle w:val="Hyperlink"/>
            <w:rFonts w:ascii="Times New Roman" w:hAnsi="Times New Roman"/>
            <w:szCs w:val="24"/>
          </w:rPr>
          <w:t>lynchm@uci.edu</w:t>
        </w:r>
      </w:hyperlink>
    </w:p>
    <w:p w14:paraId="231DB097" w14:textId="77777777" w:rsidR="00AC0C2B" w:rsidRPr="00AC0C2B" w:rsidRDefault="00AC0C2B" w:rsidP="00AC0C2B">
      <w:pPr>
        <w:rPr>
          <w:rFonts w:ascii="Times New Roman" w:hAnsi="Times New Roman"/>
          <w:szCs w:val="24"/>
        </w:rPr>
      </w:pPr>
    </w:p>
    <w:p w14:paraId="450C54AA" w14:textId="77777777" w:rsidR="00AC0C2B" w:rsidRPr="00AC0C2B" w:rsidRDefault="00AC0C2B" w:rsidP="00AC0C2B">
      <w:pPr>
        <w:rPr>
          <w:rFonts w:ascii="Times New Roman" w:hAnsi="Times New Roman"/>
          <w:szCs w:val="24"/>
        </w:rPr>
      </w:pPr>
      <w:r w:rsidRPr="00AC0C2B">
        <w:rPr>
          <w:rFonts w:ascii="Times New Roman" w:hAnsi="Times New Roman"/>
          <w:szCs w:val="24"/>
        </w:rPr>
        <w:t xml:space="preserve">On leave 2014-15 </w:t>
      </w:r>
    </w:p>
    <w:p w14:paraId="0518E65D" w14:textId="77777777" w:rsidR="00AC0C2B" w:rsidRPr="00AC0C2B" w:rsidRDefault="00AC0C2B" w:rsidP="00AC0C2B">
      <w:pPr>
        <w:rPr>
          <w:rFonts w:ascii="Times New Roman" w:hAnsi="Times New Roman"/>
          <w:szCs w:val="24"/>
        </w:rPr>
      </w:pPr>
      <w:r w:rsidRPr="00AC0C2B">
        <w:rPr>
          <w:rFonts w:ascii="Times New Roman" w:hAnsi="Times New Roman"/>
          <w:szCs w:val="24"/>
        </w:rPr>
        <w:t>Russell Sage Foundation</w:t>
      </w:r>
    </w:p>
    <w:p w14:paraId="274A20C7" w14:textId="77777777" w:rsidR="00AC0C2B" w:rsidRPr="00AC0C2B" w:rsidRDefault="00AC0C2B" w:rsidP="00AC0C2B">
      <w:pPr>
        <w:rPr>
          <w:rFonts w:ascii="Times New Roman" w:hAnsi="Times New Roman"/>
          <w:szCs w:val="24"/>
        </w:rPr>
      </w:pPr>
      <w:r w:rsidRPr="00AC0C2B">
        <w:rPr>
          <w:rFonts w:ascii="Times New Roman" w:hAnsi="Times New Roman"/>
          <w:szCs w:val="24"/>
        </w:rPr>
        <w:t>112 East 64</w:t>
      </w:r>
      <w:r w:rsidRPr="00AC0C2B">
        <w:rPr>
          <w:rFonts w:ascii="Times New Roman" w:hAnsi="Times New Roman"/>
          <w:szCs w:val="24"/>
          <w:vertAlign w:val="superscript"/>
        </w:rPr>
        <w:t>th</w:t>
      </w:r>
      <w:r w:rsidRPr="00AC0C2B">
        <w:rPr>
          <w:rFonts w:ascii="Times New Roman" w:hAnsi="Times New Roman"/>
          <w:szCs w:val="24"/>
        </w:rPr>
        <w:t xml:space="preserve"> Street</w:t>
      </w:r>
    </w:p>
    <w:p w14:paraId="61D84576" w14:textId="77777777" w:rsidR="00AC0C2B" w:rsidRPr="00AC0C2B" w:rsidRDefault="00AC0C2B" w:rsidP="00AC0C2B">
      <w:pPr>
        <w:rPr>
          <w:rFonts w:ascii="Times New Roman" w:hAnsi="Times New Roman"/>
          <w:szCs w:val="24"/>
        </w:rPr>
      </w:pPr>
      <w:r w:rsidRPr="00AC0C2B">
        <w:rPr>
          <w:rFonts w:ascii="Times New Roman" w:hAnsi="Times New Roman"/>
          <w:szCs w:val="24"/>
        </w:rPr>
        <w:t>New York, NY</w:t>
      </w:r>
    </w:p>
    <w:p w14:paraId="5DFC615C" w14:textId="79C09D4C" w:rsidR="00AC0C2B" w:rsidRDefault="00AC0C2B" w:rsidP="00AC0C2B">
      <w:pPr>
        <w:rPr>
          <w:rFonts w:ascii="Times New Roman" w:hAnsi="Times New Roman"/>
          <w:szCs w:val="24"/>
        </w:rPr>
      </w:pPr>
      <w:r w:rsidRPr="00AC0C2B">
        <w:rPr>
          <w:rFonts w:ascii="Times New Roman" w:hAnsi="Times New Roman"/>
          <w:szCs w:val="24"/>
        </w:rPr>
        <w:t xml:space="preserve"> </w:t>
      </w:r>
    </w:p>
    <w:p w14:paraId="6D5F6637" w14:textId="77777777" w:rsidR="00AC0C2B" w:rsidRPr="00AC0C2B" w:rsidRDefault="00AC0C2B" w:rsidP="00AC0C2B">
      <w:pPr>
        <w:rPr>
          <w:rFonts w:ascii="Times New Roman" w:hAnsi="Times New Roman"/>
          <w:szCs w:val="24"/>
        </w:rPr>
      </w:pPr>
    </w:p>
    <w:p w14:paraId="50D2EF83" w14:textId="69408C83" w:rsidR="00516519" w:rsidRDefault="00516519" w:rsidP="00C82B86">
      <w:pPr>
        <w:spacing w:line="480" w:lineRule="auto"/>
        <w:ind w:right="90"/>
        <w:rPr>
          <w:rFonts w:ascii="Times New Roman" w:hAnsi="Times New Roman"/>
          <w:szCs w:val="24"/>
        </w:rPr>
      </w:pPr>
      <w:r>
        <w:rPr>
          <w:rFonts w:ascii="Times New Roman" w:hAnsi="Times New Roman"/>
          <w:szCs w:val="24"/>
        </w:rPr>
        <w:tab/>
        <w:t>It is the rare American w</w:t>
      </w:r>
      <w:r w:rsidR="000115EB">
        <w:rPr>
          <w:rFonts w:ascii="Times New Roman" w:hAnsi="Times New Roman"/>
          <w:szCs w:val="24"/>
        </w:rPr>
        <w:t xml:space="preserve">ho has not heard an outrageous </w:t>
      </w:r>
      <w:r w:rsidR="004316BE">
        <w:rPr>
          <w:rFonts w:ascii="Times New Roman" w:hAnsi="Times New Roman"/>
          <w:szCs w:val="24"/>
        </w:rPr>
        <w:t>“</w:t>
      </w:r>
      <w:r w:rsidR="000115EB">
        <w:rPr>
          <w:rFonts w:ascii="Times New Roman" w:hAnsi="Times New Roman"/>
          <w:szCs w:val="24"/>
        </w:rPr>
        <w:t>war on drugs</w:t>
      </w:r>
      <w:r w:rsidR="004316BE">
        <w:rPr>
          <w:rFonts w:ascii="Times New Roman" w:hAnsi="Times New Roman"/>
          <w:szCs w:val="24"/>
        </w:rPr>
        <w:t>”</w:t>
      </w:r>
      <w:r w:rsidR="000115EB">
        <w:rPr>
          <w:rFonts w:ascii="Times New Roman" w:hAnsi="Times New Roman"/>
          <w:szCs w:val="24"/>
        </w:rPr>
        <w:t xml:space="preserve"> </w:t>
      </w:r>
      <w:r>
        <w:rPr>
          <w:rFonts w:ascii="Times New Roman" w:hAnsi="Times New Roman"/>
          <w:szCs w:val="24"/>
        </w:rPr>
        <w:t>story at some time in the last few decades,</w:t>
      </w:r>
      <w:r w:rsidR="00577D13">
        <w:rPr>
          <w:rFonts w:ascii="Times New Roman" w:hAnsi="Times New Roman"/>
          <w:szCs w:val="24"/>
        </w:rPr>
        <w:t xml:space="preserve"> perhaps</w:t>
      </w:r>
      <w:r>
        <w:rPr>
          <w:rFonts w:ascii="Times New Roman" w:hAnsi="Times New Roman"/>
          <w:szCs w:val="24"/>
        </w:rPr>
        <w:t xml:space="preserve"> about </w:t>
      </w:r>
      <w:r w:rsidR="00577D13">
        <w:rPr>
          <w:rFonts w:ascii="Times New Roman" w:hAnsi="Times New Roman"/>
          <w:szCs w:val="24"/>
        </w:rPr>
        <w:t xml:space="preserve">a </w:t>
      </w:r>
      <w:r>
        <w:rPr>
          <w:rFonts w:ascii="Times New Roman" w:hAnsi="Times New Roman"/>
          <w:szCs w:val="24"/>
        </w:rPr>
        <w:t xml:space="preserve">misguided young person who made one stupid decision to get involved in a drug deal, </w:t>
      </w:r>
      <w:r w:rsidR="006B67CF">
        <w:rPr>
          <w:rFonts w:ascii="Times New Roman" w:hAnsi="Times New Roman"/>
          <w:szCs w:val="24"/>
        </w:rPr>
        <w:t xml:space="preserve">somehow lands in federal court </w:t>
      </w:r>
      <w:r w:rsidR="00086496">
        <w:rPr>
          <w:rFonts w:ascii="Times New Roman" w:hAnsi="Times New Roman"/>
          <w:szCs w:val="24"/>
        </w:rPr>
        <w:t>facing</w:t>
      </w:r>
      <w:r w:rsidR="006B67CF">
        <w:rPr>
          <w:rFonts w:ascii="Times New Roman" w:hAnsi="Times New Roman"/>
          <w:szCs w:val="24"/>
        </w:rPr>
        <w:t xml:space="preserve"> drug trafficking</w:t>
      </w:r>
      <w:r w:rsidR="00086496">
        <w:rPr>
          <w:rFonts w:ascii="Times New Roman" w:hAnsi="Times New Roman"/>
          <w:szCs w:val="24"/>
        </w:rPr>
        <w:t xml:space="preserve"> charges</w:t>
      </w:r>
      <w:r w:rsidR="006B67CF">
        <w:rPr>
          <w:rFonts w:ascii="Times New Roman" w:hAnsi="Times New Roman"/>
          <w:szCs w:val="24"/>
        </w:rPr>
        <w:t>, and is ultimately pressured to plead guilty to charges that will result in</w:t>
      </w:r>
      <w:r>
        <w:rPr>
          <w:rFonts w:ascii="Times New Roman" w:hAnsi="Times New Roman"/>
          <w:szCs w:val="24"/>
        </w:rPr>
        <w:t xml:space="preserve"> years</w:t>
      </w:r>
      <w:r w:rsidR="006B67CF">
        <w:rPr>
          <w:rFonts w:ascii="Times New Roman" w:hAnsi="Times New Roman"/>
          <w:szCs w:val="24"/>
        </w:rPr>
        <w:t>, even decades,</w:t>
      </w:r>
      <w:r>
        <w:rPr>
          <w:rFonts w:ascii="Times New Roman" w:hAnsi="Times New Roman"/>
          <w:szCs w:val="24"/>
        </w:rPr>
        <w:t xml:space="preserve"> in prison. In th</w:t>
      </w:r>
      <w:r w:rsidR="00DC595B">
        <w:rPr>
          <w:rFonts w:ascii="Times New Roman" w:hAnsi="Times New Roman"/>
          <w:szCs w:val="24"/>
        </w:rPr>
        <w:t>e</w:t>
      </w:r>
      <w:r>
        <w:rPr>
          <w:rFonts w:ascii="Times New Roman" w:hAnsi="Times New Roman"/>
          <w:szCs w:val="24"/>
        </w:rPr>
        <w:t xml:space="preserve"> iconic narrative, the victim of this unfair system is usually a peripheral player, with seemingly minimal culpability in the offense—the low man on the totem pole who somehow ends up </w:t>
      </w:r>
      <w:r w:rsidR="00577D13">
        <w:rPr>
          <w:rFonts w:ascii="Times New Roman" w:hAnsi="Times New Roman"/>
          <w:szCs w:val="24"/>
        </w:rPr>
        <w:t>subject to</w:t>
      </w:r>
      <w:r>
        <w:rPr>
          <w:rFonts w:ascii="Times New Roman" w:hAnsi="Times New Roman"/>
          <w:szCs w:val="24"/>
        </w:rPr>
        <w:t xml:space="preserve"> as much or more punishment than the drug kingpins of the world. The coda of this </w:t>
      </w:r>
      <w:r w:rsidR="000115EB">
        <w:rPr>
          <w:rFonts w:ascii="Times New Roman" w:hAnsi="Times New Roman"/>
          <w:szCs w:val="24"/>
        </w:rPr>
        <w:t>story</w:t>
      </w:r>
      <w:r>
        <w:rPr>
          <w:rFonts w:ascii="Times New Roman" w:hAnsi="Times New Roman"/>
          <w:szCs w:val="24"/>
        </w:rPr>
        <w:t xml:space="preserve"> is that </w:t>
      </w:r>
      <w:r w:rsidR="006B67CF">
        <w:rPr>
          <w:rFonts w:ascii="Times New Roman" w:hAnsi="Times New Roman"/>
          <w:szCs w:val="24"/>
        </w:rPr>
        <w:t xml:space="preserve">something went wrong along the way to produce such an unjust outcome; that this is not how the system is supposed to work. From an ethical standpoint, that is no doubt a correct conclusion to draw. What I will reveal in </w:t>
      </w:r>
      <w:r w:rsidR="004316BE">
        <w:rPr>
          <w:rFonts w:ascii="Times New Roman" w:hAnsi="Times New Roman"/>
          <w:szCs w:val="24"/>
        </w:rPr>
        <w:t>the coming pages,</w:t>
      </w:r>
      <w:r w:rsidR="006B67CF">
        <w:rPr>
          <w:rFonts w:ascii="Times New Roman" w:hAnsi="Times New Roman"/>
          <w:szCs w:val="24"/>
        </w:rPr>
        <w:t xml:space="preserve"> however, is that this is exactly how the federal system has been designed to function. </w:t>
      </w:r>
      <w:r w:rsidR="000913F4">
        <w:rPr>
          <w:rFonts w:ascii="Times New Roman" w:hAnsi="Times New Roman"/>
          <w:szCs w:val="24"/>
        </w:rPr>
        <w:t xml:space="preserve">And </w:t>
      </w:r>
      <w:r w:rsidR="00F23187">
        <w:rPr>
          <w:rFonts w:ascii="Times New Roman" w:hAnsi="Times New Roman"/>
          <w:szCs w:val="24"/>
        </w:rPr>
        <w:t xml:space="preserve">so it has since the mid-1980s, producing </w:t>
      </w:r>
      <w:r w:rsidR="000913F4">
        <w:rPr>
          <w:rFonts w:ascii="Times New Roman" w:hAnsi="Times New Roman"/>
          <w:szCs w:val="24"/>
        </w:rPr>
        <w:t>a half-million</w:t>
      </w:r>
      <w:r w:rsidR="00F23187">
        <w:rPr>
          <w:rFonts w:ascii="Times New Roman" w:hAnsi="Times New Roman"/>
          <w:szCs w:val="24"/>
        </w:rPr>
        <w:t xml:space="preserve"> prison-bound </w:t>
      </w:r>
      <w:r w:rsidR="000913F4">
        <w:rPr>
          <w:rFonts w:ascii="Times New Roman" w:hAnsi="Times New Roman"/>
          <w:szCs w:val="24"/>
        </w:rPr>
        <w:t xml:space="preserve">federal </w:t>
      </w:r>
      <w:r w:rsidR="00F23187">
        <w:rPr>
          <w:rFonts w:ascii="Times New Roman" w:hAnsi="Times New Roman"/>
          <w:szCs w:val="24"/>
        </w:rPr>
        <w:t>drug trafficking defendants</w:t>
      </w:r>
      <w:r w:rsidR="000115EB">
        <w:rPr>
          <w:rFonts w:ascii="Times New Roman" w:hAnsi="Times New Roman"/>
          <w:szCs w:val="24"/>
        </w:rPr>
        <w:t xml:space="preserve"> along the way</w:t>
      </w:r>
      <w:r w:rsidR="00F23187">
        <w:rPr>
          <w:rFonts w:ascii="Times New Roman" w:hAnsi="Times New Roman"/>
          <w:szCs w:val="24"/>
        </w:rPr>
        <w:t xml:space="preserve">.  </w:t>
      </w:r>
    </w:p>
    <w:p w14:paraId="6CE6ED5E" w14:textId="0E2BF7CE" w:rsidR="00E418E5" w:rsidRDefault="004E4FA4" w:rsidP="004E4FA4">
      <w:pPr>
        <w:spacing w:line="480" w:lineRule="auto"/>
        <w:ind w:firstLine="720"/>
        <w:rPr>
          <w:rFonts w:ascii="Times New Roman" w:hAnsi="Times New Roman"/>
          <w:szCs w:val="24"/>
        </w:rPr>
      </w:pPr>
      <w:r>
        <w:rPr>
          <w:rFonts w:ascii="Times New Roman" w:hAnsi="Times New Roman"/>
          <w:szCs w:val="24"/>
        </w:rPr>
        <w:t>Devon Harrison’s</w:t>
      </w:r>
      <w:r>
        <w:rPr>
          <w:rStyle w:val="FootnoteReference"/>
          <w:rFonts w:ascii="Times New Roman" w:hAnsi="Times New Roman"/>
          <w:szCs w:val="24"/>
        </w:rPr>
        <w:footnoteReference w:id="1"/>
      </w:r>
      <w:r>
        <w:rPr>
          <w:rFonts w:ascii="Times New Roman" w:hAnsi="Times New Roman"/>
          <w:szCs w:val="24"/>
        </w:rPr>
        <w:t xml:space="preserve"> </w:t>
      </w:r>
      <w:r w:rsidR="0066018C">
        <w:rPr>
          <w:rFonts w:ascii="Times New Roman" w:hAnsi="Times New Roman"/>
          <w:szCs w:val="24"/>
        </w:rPr>
        <w:t xml:space="preserve">case </w:t>
      </w:r>
      <w:r w:rsidR="00DC595B">
        <w:rPr>
          <w:rFonts w:ascii="Times New Roman" w:hAnsi="Times New Roman"/>
          <w:szCs w:val="24"/>
        </w:rPr>
        <w:t>exemplifies</w:t>
      </w:r>
      <w:r>
        <w:rPr>
          <w:rFonts w:ascii="Times New Roman" w:hAnsi="Times New Roman"/>
          <w:szCs w:val="24"/>
        </w:rPr>
        <w:t xml:space="preserve"> this functional tragedy</w:t>
      </w:r>
      <w:r w:rsidR="0066018C">
        <w:rPr>
          <w:rFonts w:ascii="Times New Roman" w:hAnsi="Times New Roman"/>
          <w:szCs w:val="24"/>
        </w:rPr>
        <w:t xml:space="preserve"> all too well</w:t>
      </w:r>
      <w:r>
        <w:rPr>
          <w:rFonts w:ascii="Times New Roman" w:hAnsi="Times New Roman"/>
          <w:szCs w:val="24"/>
        </w:rPr>
        <w:t xml:space="preserve">. </w:t>
      </w:r>
      <w:r w:rsidR="00577D13">
        <w:rPr>
          <w:rFonts w:ascii="Times New Roman" w:hAnsi="Times New Roman"/>
          <w:szCs w:val="24"/>
        </w:rPr>
        <w:t>Devon</w:t>
      </w:r>
      <w:r w:rsidR="00D61AED">
        <w:rPr>
          <w:rFonts w:ascii="Times New Roman" w:hAnsi="Times New Roman"/>
          <w:szCs w:val="24"/>
        </w:rPr>
        <w:t xml:space="preserve"> may not have been squeaky clean before </w:t>
      </w:r>
      <w:r w:rsidR="000115EB">
        <w:rPr>
          <w:rFonts w:ascii="Times New Roman" w:hAnsi="Times New Roman"/>
          <w:szCs w:val="24"/>
        </w:rPr>
        <w:t>August</w:t>
      </w:r>
      <w:r w:rsidR="00444306">
        <w:rPr>
          <w:rFonts w:ascii="Times New Roman" w:hAnsi="Times New Roman"/>
          <w:szCs w:val="24"/>
        </w:rPr>
        <w:t xml:space="preserve"> 2004</w:t>
      </w:r>
      <w:r w:rsidR="000115EB">
        <w:rPr>
          <w:rFonts w:ascii="Times New Roman" w:hAnsi="Times New Roman"/>
          <w:szCs w:val="24"/>
        </w:rPr>
        <w:t>,</w:t>
      </w:r>
      <w:r w:rsidR="00444306">
        <w:rPr>
          <w:rFonts w:ascii="Times New Roman" w:hAnsi="Times New Roman"/>
          <w:szCs w:val="24"/>
        </w:rPr>
        <w:t xml:space="preserve"> when</w:t>
      </w:r>
      <w:r w:rsidR="001621E9">
        <w:rPr>
          <w:rFonts w:ascii="Times New Roman" w:hAnsi="Times New Roman"/>
          <w:szCs w:val="24"/>
        </w:rPr>
        <w:t xml:space="preserve"> he landed in federal court, but he certainly was no drug kingpin. </w:t>
      </w:r>
      <w:r w:rsidR="00E418E5">
        <w:rPr>
          <w:rFonts w:ascii="Times New Roman" w:hAnsi="Times New Roman"/>
          <w:szCs w:val="24"/>
        </w:rPr>
        <w:t>E</w:t>
      </w:r>
      <w:r w:rsidR="00EB2408">
        <w:rPr>
          <w:rFonts w:ascii="Times New Roman" w:hAnsi="Times New Roman"/>
          <w:szCs w:val="24"/>
        </w:rPr>
        <w:t xml:space="preserve">leven years earlier, </w:t>
      </w:r>
      <w:r w:rsidR="00E418E5">
        <w:rPr>
          <w:rFonts w:ascii="Times New Roman" w:hAnsi="Times New Roman"/>
          <w:szCs w:val="24"/>
        </w:rPr>
        <w:t>just shy of his 21</w:t>
      </w:r>
      <w:r w:rsidR="00E418E5" w:rsidRPr="00E418E5">
        <w:rPr>
          <w:rFonts w:ascii="Times New Roman" w:hAnsi="Times New Roman"/>
          <w:szCs w:val="24"/>
          <w:vertAlign w:val="superscript"/>
        </w:rPr>
        <w:t>st</w:t>
      </w:r>
      <w:r w:rsidR="00E418E5">
        <w:rPr>
          <w:rFonts w:ascii="Times New Roman" w:hAnsi="Times New Roman"/>
          <w:szCs w:val="24"/>
        </w:rPr>
        <w:t xml:space="preserve"> birthday, </w:t>
      </w:r>
      <w:r w:rsidR="00EB2408">
        <w:rPr>
          <w:rFonts w:ascii="Times New Roman" w:hAnsi="Times New Roman"/>
          <w:szCs w:val="24"/>
        </w:rPr>
        <w:t xml:space="preserve">he had been convicted </w:t>
      </w:r>
      <w:r w:rsidR="00B36403">
        <w:rPr>
          <w:rFonts w:ascii="Times New Roman" w:hAnsi="Times New Roman"/>
          <w:szCs w:val="24"/>
        </w:rPr>
        <w:t xml:space="preserve">and </w:t>
      </w:r>
      <w:r w:rsidR="00B36403">
        <w:rPr>
          <w:rFonts w:ascii="Times New Roman" w:hAnsi="Times New Roman"/>
          <w:szCs w:val="24"/>
        </w:rPr>
        <w:lastRenderedPageBreak/>
        <w:t xml:space="preserve">sentenced to </w:t>
      </w:r>
      <w:r w:rsidR="00086496">
        <w:rPr>
          <w:rFonts w:ascii="Times New Roman" w:hAnsi="Times New Roman"/>
          <w:szCs w:val="24"/>
        </w:rPr>
        <w:t xml:space="preserve">a short stint in state </w:t>
      </w:r>
      <w:r w:rsidR="00B36403">
        <w:rPr>
          <w:rFonts w:ascii="Times New Roman" w:hAnsi="Times New Roman"/>
          <w:szCs w:val="24"/>
        </w:rPr>
        <w:t xml:space="preserve">prison </w:t>
      </w:r>
      <w:r w:rsidR="004C6A96">
        <w:rPr>
          <w:rFonts w:ascii="Times New Roman" w:hAnsi="Times New Roman"/>
          <w:szCs w:val="24"/>
        </w:rPr>
        <w:t>as a low-level street dealer</w:t>
      </w:r>
      <w:r w:rsidR="00B36403">
        <w:rPr>
          <w:rFonts w:ascii="Times New Roman" w:hAnsi="Times New Roman"/>
          <w:szCs w:val="24"/>
        </w:rPr>
        <w:t xml:space="preserve"> in the mid-sized southern city </w:t>
      </w:r>
      <w:r w:rsidR="00F50DD5">
        <w:rPr>
          <w:rFonts w:ascii="Times New Roman" w:hAnsi="Times New Roman"/>
          <w:szCs w:val="24"/>
        </w:rPr>
        <w:t>where he was born and raised</w:t>
      </w:r>
      <w:r w:rsidR="00B36403">
        <w:rPr>
          <w:rFonts w:ascii="Times New Roman" w:hAnsi="Times New Roman"/>
          <w:szCs w:val="24"/>
        </w:rPr>
        <w:t>.</w:t>
      </w:r>
      <w:r w:rsidR="00EB2408">
        <w:rPr>
          <w:rFonts w:ascii="Times New Roman" w:hAnsi="Times New Roman"/>
          <w:szCs w:val="24"/>
        </w:rPr>
        <w:t xml:space="preserve"> </w:t>
      </w:r>
      <w:r w:rsidR="00681CC4">
        <w:rPr>
          <w:rFonts w:ascii="Times New Roman" w:hAnsi="Times New Roman"/>
          <w:szCs w:val="24"/>
        </w:rPr>
        <w:t>Three years later</w:t>
      </w:r>
      <w:r w:rsidR="00E418E5">
        <w:rPr>
          <w:rFonts w:ascii="Times New Roman" w:hAnsi="Times New Roman"/>
          <w:szCs w:val="24"/>
        </w:rPr>
        <w:t xml:space="preserve">, </w:t>
      </w:r>
      <w:r w:rsidR="00681CC4">
        <w:rPr>
          <w:rFonts w:ascii="Times New Roman" w:hAnsi="Times New Roman"/>
          <w:szCs w:val="24"/>
        </w:rPr>
        <w:t>Devon ended up</w:t>
      </w:r>
      <w:r w:rsidR="00E418E5">
        <w:rPr>
          <w:rFonts w:ascii="Times New Roman" w:hAnsi="Times New Roman"/>
          <w:szCs w:val="24"/>
        </w:rPr>
        <w:t xml:space="preserve"> back in state court facing felony drug possession charges</w:t>
      </w:r>
      <w:r w:rsidR="004C6A96">
        <w:rPr>
          <w:rFonts w:ascii="Times New Roman" w:hAnsi="Times New Roman"/>
          <w:szCs w:val="24"/>
        </w:rPr>
        <w:t>; he pled guilty</w:t>
      </w:r>
      <w:r w:rsidR="00E418E5">
        <w:rPr>
          <w:rFonts w:ascii="Times New Roman" w:hAnsi="Times New Roman"/>
          <w:szCs w:val="24"/>
        </w:rPr>
        <w:t xml:space="preserve"> and </w:t>
      </w:r>
      <w:r w:rsidR="004C6A96">
        <w:rPr>
          <w:rFonts w:ascii="Times New Roman" w:hAnsi="Times New Roman"/>
          <w:szCs w:val="24"/>
        </w:rPr>
        <w:t xml:space="preserve">was </w:t>
      </w:r>
      <w:r w:rsidR="00E418E5">
        <w:rPr>
          <w:rFonts w:ascii="Times New Roman" w:hAnsi="Times New Roman"/>
          <w:szCs w:val="24"/>
        </w:rPr>
        <w:t xml:space="preserve">given 12 months in jail. </w:t>
      </w:r>
      <w:r w:rsidR="00245973">
        <w:rPr>
          <w:rFonts w:ascii="Times New Roman" w:hAnsi="Times New Roman"/>
          <w:szCs w:val="24"/>
        </w:rPr>
        <w:t xml:space="preserve">His drug-related criminal history fits an all-too-common pattern among </w:t>
      </w:r>
      <w:r w:rsidR="004C6A96">
        <w:rPr>
          <w:rFonts w:ascii="Times New Roman" w:hAnsi="Times New Roman"/>
          <w:szCs w:val="24"/>
        </w:rPr>
        <w:t xml:space="preserve">habitual </w:t>
      </w:r>
      <w:r w:rsidR="00245973">
        <w:rPr>
          <w:rFonts w:ascii="Times New Roman" w:hAnsi="Times New Roman"/>
          <w:szCs w:val="24"/>
        </w:rPr>
        <w:t>users. I</w:t>
      </w:r>
      <w:r w:rsidR="00E418E5">
        <w:rPr>
          <w:rFonts w:ascii="Times New Roman" w:hAnsi="Times New Roman"/>
          <w:szCs w:val="24"/>
        </w:rPr>
        <w:t xml:space="preserve">n </w:t>
      </w:r>
      <w:r w:rsidR="004C6A96">
        <w:rPr>
          <w:rFonts w:ascii="Times New Roman" w:hAnsi="Times New Roman"/>
          <w:szCs w:val="24"/>
        </w:rPr>
        <w:t xml:space="preserve">this case, in </w:t>
      </w:r>
      <w:r w:rsidR="00E418E5">
        <w:rPr>
          <w:rFonts w:ascii="Times New Roman" w:hAnsi="Times New Roman"/>
          <w:szCs w:val="24"/>
        </w:rPr>
        <w:t xml:space="preserve">order to </w:t>
      </w:r>
      <w:r w:rsidR="00245973">
        <w:rPr>
          <w:rFonts w:ascii="Times New Roman" w:hAnsi="Times New Roman"/>
          <w:szCs w:val="24"/>
        </w:rPr>
        <w:t>maintain</w:t>
      </w:r>
      <w:r w:rsidR="00E418E5">
        <w:rPr>
          <w:rFonts w:ascii="Times New Roman" w:hAnsi="Times New Roman"/>
          <w:szCs w:val="24"/>
        </w:rPr>
        <w:t xml:space="preserve"> </w:t>
      </w:r>
      <w:r w:rsidR="00245973">
        <w:rPr>
          <w:rFonts w:ascii="Times New Roman" w:hAnsi="Times New Roman"/>
          <w:szCs w:val="24"/>
        </w:rPr>
        <w:t>his heroin habit</w:t>
      </w:r>
      <w:r w:rsidR="00E418E5">
        <w:rPr>
          <w:rFonts w:ascii="Times New Roman" w:hAnsi="Times New Roman"/>
          <w:szCs w:val="24"/>
        </w:rPr>
        <w:t xml:space="preserve">, he occasionally sold or traded </w:t>
      </w:r>
      <w:r w:rsidR="00F0407E">
        <w:rPr>
          <w:rFonts w:ascii="Times New Roman" w:hAnsi="Times New Roman"/>
          <w:szCs w:val="24"/>
        </w:rPr>
        <w:t>several</w:t>
      </w:r>
      <w:r w:rsidR="00E418E5">
        <w:rPr>
          <w:rFonts w:ascii="Times New Roman" w:hAnsi="Times New Roman"/>
          <w:szCs w:val="24"/>
        </w:rPr>
        <w:t xml:space="preserve"> rocks of crack</w:t>
      </w:r>
      <w:r w:rsidR="00F0407E">
        <w:rPr>
          <w:rFonts w:ascii="Times New Roman" w:hAnsi="Times New Roman"/>
          <w:szCs w:val="24"/>
        </w:rPr>
        <w:t xml:space="preserve">, which was the prevailing drug market in his </w:t>
      </w:r>
      <w:r w:rsidR="00565C8B">
        <w:rPr>
          <w:rFonts w:ascii="Times New Roman" w:hAnsi="Times New Roman"/>
          <w:szCs w:val="24"/>
        </w:rPr>
        <w:t>town</w:t>
      </w:r>
      <w:r w:rsidR="00E418E5">
        <w:rPr>
          <w:rFonts w:ascii="Times New Roman" w:hAnsi="Times New Roman"/>
          <w:szCs w:val="24"/>
        </w:rPr>
        <w:t xml:space="preserve">. </w:t>
      </w:r>
      <w:r w:rsidR="004C6A96">
        <w:rPr>
          <w:rFonts w:ascii="Times New Roman" w:hAnsi="Times New Roman"/>
          <w:szCs w:val="24"/>
        </w:rPr>
        <w:t xml:space="preserve">It is this history that </w:t>
      </w:r>
      <w:r w:rsidR="00C23F34">
        <w:rPr>
          <w:rFonts w:ascii="Times New Roman" w:hAnsi="Times New Roman"/>
          <w:szCs w:val="24"/>
        </w:rPr>
        <w:t xml:space="preserve">essentially </w:t>
      </w:r>
      <w:r w:rsidR="004C6A96">
        <w:rPr>
          <w:rFonts w:ascii="Times New Roman" w:hAnsi="Times New Roman"/>
          <w:szCs w:val="24"/>
        </w:rPr>
        <w:t xml:space="preserve">put </w:t>
      </w:r>
      <w:r w:rsidR="00DC595B">
        <w:rPr>
          <w:rFonts w:ascii="Times New Roman" w:hAnsi="Times New Roman"/>
          <w:szCs w:val="24"/>
        </w:rPr>
        <w:t>Devon</w:t>
      </w:r>
      <w:r w:rsidR="004C6A96">
        <w:rPr>
          <w:rFonts w:ascii="Times New Roman" w:hAnsi="Times New Roman"/>
          <w:szCs w:val="24"/>
        </w:rPr>
        <w:t xml:space="preserve"> in a very wrong place at the </w:t>
      </w:r>
      <w:r w:rsidR="00681CC4">
        <w:rPr>
          <w:rFonts w:ascii="Times New Roman" w:hAnsi="Times New Roman"/>
          <w:szCs w:val="24"/>
        </w:rPr>
        <w:t xml:space="preserve">very </w:t>
      </w:r>
      <w:r w:rsidR="004C6A96">
        <w:rPr>
          <w:rFonts w:ascii="Times New Roman" w:hAnsi="Times New Roman"/>
          <w:szCs w:val="24"/>
        </w:rPr>
        <w:t xml:space="preserve">wrong time in August 2004 </w:t>
      </w:r>
      <w:r w:rsidR="004C6A96" w:rsidRPr="004C6A96">
        <w:rPr>
          <w:rFonts w:ascii="Times New Roman" w:hAnsi="Times New Roman"/>
          <w:i/>
          <w:szCs w:val="24"/>
        </w:rPr>
        <w:t>and</w:t>
      </w:r>
      <w:r w:rsidR="004C6A96">
        <w:rPr>
          <w:rFonts w:ascii="Times New Roman" w:hAnsi="Times New Roman"/>
          <w:szCs w:val="24"/>
        </w:rPr>
        <w:t xml:space="preserve"> it is the reason he has been condemned to prison for the remainder of his natural life. </w:t>
      </w:r>
    </w:p>
    <w:p w14:paraId="17281459" w14:textId="7BD0C57B" w:rsidR="00A82521" w:rsidRDefault="00762A80" w:rsidP="00A82521">
      <w:pPr>
        <w:spacing w:line="480" w:lineRule="auto"/>
        <w:ind w:firstLine="720"/>
        <w:rPr>
          <w:rFonts w:ascii="Times New Roman" w:hAnsi="Times New Roman"/>
          <w:szCs w:val="24"/>
        </w:rPr>
      </w:pPr>
      <w:r>
        <w:rPr>
          <w:rFonts w:ascii="Times New Roman" w:hAnsi="Times New Roman"/>
          <w:szCs w:val="24"/>
        </w:rPr>
        <w:t xml:space="preserve">About a week before the fateful August night, </w:t>
      </w:r>
      <w:r w:rsidR="001621E9">
        <w:rPr>
          <w:rFonts w:ascii="Times New Roman" w:hAnsi="Times New Roman"/>
          <w:szCs w:val="24"/>
        </w:rPr>
        <w:t>Devon</w:t>
      </w:r>
      <w:r>
        <w:rPr>
          <w:rFonts w:ascii="Times New Roman" w:hAnsi="Times New Roman"/>
          <w:szCs w:val="24"/>
        </w:rPr>
        <w:t xml:space="preserve"> reignited a friendship with</w:t>
      </w:r>
      <w:r w:rsidR="0064688C">
        <w:rPr>
          <w:rFonts w:ascii="Times New Roman" w:hAnsi="Times New Roman"/>
          <w:szCs w:val="24"/>
        </w:rPr>
        <w:t xml:space="preserve"> Charles, a former high school classmate.</w:t>
      </w:r>
      <w:r>
        <w:rPr>
          <w:rFonts w:ascii="Times New Roman" w:hAnsi="Times New Roman"/>
          <w:szCs w:val="24"/>
        </w:rPr>
        <w:t xml:space="preserve"> </w:t>
      </w:r>
      <w:r w:rsidR="00DC595B">
        <w:rPr>
          <w:rFonts w:ascii="Times New Roman" w:hAnsi="Times New Roman"/>
          <w:szCs w:val="24"/>
        </w:rPr>
        <w:t xml:space="preserve">By this time, </w:t>
      </w:r>
      <w:r>
        <w:rPr>
          <w:rFonts w:ascii="Times New Roman" w:hAnsi="Times New Roman"/>
          <w:szCs w:val="24"/>
        </w:rPr>
        <w:t xml:space="preserve">Charles was a relatively large-scale local crack dealer. Charles </w:t>
      </w:r>
      <w:r w:rsidR="00C23F34">
        <w:rPr>
          <w:rFonts w:ascii="Times New Roman" w:hAnsi="Times New Roman"/>
          <w:szCs w:val="24"/>
        </w:rPr>
        <w:t xml:space="preserve">typically made weekly runs </w:t>
      </w:r>
      <w:r>
        <w:rPr>
          <w:rFonts w:ascii="Times New Roman" w:hAnsi="Times New Roman"/>
          <w:szCs w:val="24"/>
        </w:rPr>
        <w:t>to his s</w:t>
      </w:r>
      <w:r w:rsidR="00EB1AA4">
        <w:rPr>
          <w:rFonts w:ascii="Times New Roman" w:hAnsi="Times New Roman"/>
          <w:szCs w:val="24"/>
        </w:rPr>
        <w:t xml:space="preserve">upplier, </w:t>
      </w:r>
      <w:r w:rsidR="00C23F34">
        <w:rPr>
          <w:rFonts w:ascii="Times New Roman" w:hAnsi="Times New Roman"/>
          <w:szCs w:val="24"/>
        </w:rPr>
        <w:t xml:space="preserve">who was located </w:t>
      </w:r>
      <w:r w:rsidR="00EB1AA4">
        <w:rPr>
          <w:rFonts w:ascii="Times New Roman" w:hAnsi="Times New Roman"/>
          <w:szCs w:val="24"/>
        </w:rPr>
        <w:t>in a t</w:t>
      </w:r>
      <w:r w:rsidR="0064688C">
        <w:rPr>
          <w:rFonts w:ascii="Times New Roman" w:hAnsi="Times New Roman"/>
          <w:szCs w:val="24"/>
        </w:rPr>
        <w:t>o</w:t>
      </w:r>
      <w:r w:rsidR="00EB1AA4">
        <w:rPr>
          <w:rFonts w:ascii="Times New Roman" w:hAnsi="Times New Roman"/>
          <w:szCs w:val="24"/>
        </w:rPr>
        <w:t>w</w:t>
      </w:r>
      <w:r w:rsidR="0064688C">
        <w:rPr>
          <w:rFonts w:ascii="Times New Roman" w:hAnsi="Times New Roman"/>
          <w:szCs w:val="24"/>
        </w:rPr>
        <w:t>n</w:t>
      </w:r>
      <w:r w:rsidR="00EB1AA4">
        <w:rPr>
          <w:rFonts w:ascii="Times New Roman" w:hAnsi="Times New Roman"/>
          <w:szCs w:val="24"/>
        </w:rPr>
        <w:t xml:space="preserve"> </w:t>
      </w:r>
      <w:r w:rsidR="0064688C">
        <w:rPr>
          <w:rFonts w:ascii="Times New Roman" w:hAnsi="Times New Roman"/>
          <w:szCs w:val="24"/>
        </w:rPr>
        <w:t>about 150 miles southwest</w:t>
      </w:r>
      <w:r w:rsidR="00C23F34">
        <w:rPr>
          <w:rFonts w:ascii="Times New Roman" w:hAnsi="Times New Roman"/>
          <w:szCs w:val="24"/>
        </w:rPr>
        <w:t xml:space="preserve">; </w:t>
      </w:r>
      <w:r w:rsidR="00EB1AA4">
        <w:rPr>
          <w:rFonts w:ascii="Times New Roman" w:hAnsi="Times New Roman"/>
          <w:szCs w:val="24"/>
        </w:rPr>
        <w:t xml:space="preserve">Charles </w:t>
      </w:r>
      <w:r w:rsidR="00C23F34">
        <w:rPr>
          <w:rFonts w:ascii="Times New Roman" w:hAnsi="Times New Roman"/>
          <w:szCs w:val="24"/>
        </w:rPr>
        <w:t xml:space="preserve">typically </w:t>
      </w:r>
      <w:r w:rsidR="00EB1AA4">
        <w:rPr>
          <w:rFonts w:ascii="Times New Roman" w:hAnsi="Times New Roman"/>
          <w:szCs w:val="24"/>
        </w:rPr>
        <w:t xml:space="preserve">had his girlfriend, Marina, rent a car for </w:t>
      </w:r>
      <w:r w:rsidR="00610879">
        <w:rPr>
          <w:rFonts w:ascii="Times New Roman" w:hAnsi="Times New Roman"/>
          <w:szCs w:val="24"/>
        </w:rPr>
        <w:t>those</w:t>
      </w:r>
      <w:r w:rsidR="00EB1AA4">
        <w:rPr>
          <w:rFonts w:ascii="Times New Roman" w:hAnsi="Times New Roman"/>
          <w:szCs w:val="24"/>
        </w:rPr>
        <w:t xml:space="preserve"> drug runs. </w:t>
      </w:r>
      <w:r w:rsidR="00C23F34">
        <w:rPr>
          <w:rFonts w:ascii="Times New Roman" w:hAnsi="Times New Roman"/>
          <w:szCs w:val="24"/>
        </w:rPr>
        <w:t xml:space="preserve">Unbeknownst to either of them, </w:t>
      </w:r>
      <w:r w:rsidR="00EB1AA4">
        <w:rPr>
          <w:rFonts w:ascii="Times New Roman" w:hAnsi="Times New Roman"/>
          <w:szCs w:val="24"/>
        </w:rPr>
        <w:t xml:space="preserve">both Charles and Marina had been under active federal </w:t>
      </w:r>
      <w:r w:rsidR="0052063C">
        <w:rPr>
          <w:rFonts w:ascii="Times New Roman" w:hAnsi="Times New Roman"/>
          <w:szCs w:val="24"/>
        </w:rPr>
        <w:t xml:space="preserve">law enforcement </w:t>
      </w:r>
      <w:r w:rsidR="00EB1AA4">
        <w:rPr>
          <w:rFonts w:ascii="Times New Roman" w:hAnsi="Times New Roman"/>
          <w:szCs w:val="24"/>
        </w:rPr>
        <w:t>surveillance</w:t>
      </w:r>
      <w:r w:rsidR="00DC595B">
        <w:rPr>
          <w:rFonts w:ascii="Times New Roman" w:hAnsi="Times New Roman"/>
          <w:szCs w:val="24"/>
        </w:rPr>
        <w:t xml:space="preserve"> for the prior five months</w:t>
      </w:r>
      <w:r w:rsidR="00C23F34">
        <w:rPr>
          <w:rFonts w:ascii="Times New Roman" w:hAnsi="Times New Roman"/>
          <w:szCs w:val="24"/>
        </w:rPr>
        <w:t>,</w:t>
      </w:r>
      <w:r w:rsidR="00C23F34" w:rsidRPr="00C23F34">
        <w:rPr>
          <w:rFonts w:ascii="Times New Roman" w:hAnsi="Times New Roman"/>
          <w:szCs w:val="24"/>
        </w:rPr>
        <w:t xml:space="preserve"> </w:t>
      </w:r>
      <w:r w:rsidR="00C23F34">
        <w:rPr>
          <w:rFonts w:ascii="Times New Roman" w:hAnsi="Times New Roman"/>
          <w:szCs w:val="24"/>
        </w:rPr>
        <w:t>thanks to a tip from a confidential informant. A</w:t>
      </w:r>
      <w:r w:rsidR="00B36403">
        <w:rPr>
          <w:rFonts w:ascii="Times New Roman" w:hAnsi="Times New Roman"/>
          <w:szCs w:val="24"/>
        </w:rPr>
        <w:t>gents</w:t>
      </w:r>
      <w:r w:rsidR="002067D0">
        <w:rPr>
          <w:rFonts w:ascii="Times New Roman" w:hAnsi="Times New Roman"/>
          <w:szCs w:val="24"/>
        </w:rPr>
        <w:t xml:space="preserve"> had documented </w:t>
      </w:r>
      <w:r w:rsidR="00C23F34">
        <w:rPr>
          <w:rFonts w:ascii="Times New Roman" w:hAnsi="Times New Roman"/>
          <w:szCs w:val="24"/>
        </w:rPr>
        <w:t xml:space="preserve">the </w:t>
      </w:r>
      <w:r w:rsidR="0052063C">
        <w:rPr>
          <w:rFonts w:ascii="Times New Roman" w:hAnsi="Times New Roman"/>
          <w:szCs w:val="24"/>
        </w:rPr>
        <w:t xml:space="preserve">near </w:t>
      </w:r>
      <w:r w:rsidR="002067D0">
        <w:rPr>
          <w:rFonts w:ascii="Times New Roman" w:hAnsi="Times New Roman"/>
          <w:szCs w:val="24"/>
        </w:rPr>
        <w:t xml:space="preserve">weekly runs by Charles to the same supplier, </w:t>
      </w:r>
      <w:r w:rsidR="00B36403">
        <w:rPr>
          <w:rFonts w:ascii="Times New Roman" w:hAnsi="Times New Roman"/>
          <w:szCs w:val="24"/>
        </w:rPr>
        <w:t>often using a</w:t>
      </w:r>
      <w:r w:rsidR="002067D0">
        <w:rPr>
          <w:rFonts w:ascii="Times New Roman" w:hAnsi="Times New Roman"/>
          <w:szCs w:val="24"/>
        </w:rPr>
        <w:t xml:space="preserve"> drive car </w:t>
      </w:r>
      <w:r w:rsidR="00B36403">
        <w:rPr>
          <w:rFonts w:ascii="Times New Roman" w:hAnsi="Times New Roman"/>
          <w:szCs w:val="24"/>
        </w:rPr>
        <w:t>rented by Marina</w:t>
      </w:r>
      <w:r w:rsidR="002067D0">
        <w:rPr>
          <w:rFonts w:ascii="Times New Roman" w:hAnsi="Times New Roman"/>
          <w:szCs w:val="24"/>
        </w:rPr>
        <w:t>.</w:t>
      </w:r>
      <w:r w:rsidR="00C23F34">
        <w:rPr>
          <w:rFonts w:ascii="Times New Roman" w:hAnsi="Times New Roman"/>
          <w:szCs w:val="24"/>
        </w:rPr>
        <w:t xml:space="preserve"> On</w:t>
      </w:r>
      <w:r w:rsidR="00610879">
        <w:rPr>
          <w:rFonts w:ascii="Times New Roman" w:hAnsi="Times New Roman"/>
          <w:szCs w:val="24"/>
        </w:rPr>
        <w:t>e</w:t>
      </w:r>
      <w:r w:rsidR="00C23F34">
        <w:rPr>
          <w:rFonts w:ascii="Times New Roman" w:hAnsi="Times New Roman"/>
          <w:szCs w:val="24"/>
        </w:rPr>
        <w:t xml:space="preserve"> August </w:t>
      </w:r>
      <w:r w:rsidR="00610879">
        <w:rPr>
          <w:rFonts w:ascii="Times New Roman" w:hAnsi="Times New Roman"/>
          <w:szCs w:val="24"/>
        </w:rPr>
        <w:t>day</w:t>
      </w:r>
      <w:r w:rsidR="00C23F34">
        <w:rPr>
          <w:rFonts w:ascii="Times New Roman" w:hAnsi="Times New Roman"/>
          <w:szCs w:val="24"/>
        </w:rPr>
        <w:t>, Charles</w:t>
      </w:r>
      <w:r w:rsidR="00A82521">
        <w:rPr>
          <w:rFonts w:ascii="Times New Roman" w:hAnsi="Times New Roman"/>
          <w:szCs w:val="24"/>
        </w:rPr>
        <w:t xml:space="preserve"> and Marina</w:t>
      </w:r>
      <w:r w:rsidR="00C23F34">
        <w:rPr>
          <w:rFonts w:ascii="Times New Roman" w:hAnsi="Times New Roman"/>
          <w:szCs w:val="24"/>
        </w:rPr>
        <w:t xml:space="preserve"> invited</w:t>
      </w:r>
      <w:r w:rsidR="00681CC4">
        <w:rPr>
          <w:rFonts w:ascii="Times New Roman" w:hAnsi="Times New Roman"/>
          <w:szCs w:val="24"/>
        </w:rPr>
        <w:t xml:space="preserve"> Devon and his girlfriend along for the ride</w:t>
      </w:r>
      <w:r w:rsidR="00C23F34">
        <w:rPr>
          <w:rFonts w:ascii="Times New Roman" w:hAnsi="Times New Roman"/>
          <w:szCs w:val="24"/>
        </w:rPr>
        <w:t xml:space="preserve"> to the supplier</w:t>
      </w:r>
      <w:r w:rsidR="00681CC4">
        <w:rPr>
          <w:rFonts w:ascii="Times New Roman" w:hAnsi="Times New Roman"/>
          <w:szCs w:val="24"/>
        </w:rPr>
        <w:t xml:space="preserve">. </w:t>
      </w:r>
      <w:r w:rsidR="00A82521">
        <w:rPr>
          <w:rFonts w:ascii="Times New Roman" w:hAnsi="Times New Roman"/>
          <w:szCs w:val="24"/>
        </w:rPr>
        <w:t xml:space="preserve">As the surveillance operation confirmed, this was the one and only time Devon had accompanied his friend on a run. </w:t>
      </w:r>
    </w:p>
    <w:p w14:paraId="303634EB" w14:textId="1E26EB7D" w:rsidR="003E7511" w:rsidRDefault="00681CC4" w:rsidP="00A82521">
      <w:pPr>
        <w:spacing w:line="480" w:lineRule="auto"/>
        <w:ind w:right="-90" w:firstLine="720"/>
        <w:rPr>
          <w:rFonts w:ascii="Times New Roman" w:hAnsi="Times New Roman"/>
          <w:szCs w:val="24"/>
        </w:rPr>
      </w:pPr>
      <w:r>
        <w:rPr>
          <w:rFonts w:ascii="Times New Roman" w:hAnsi="Times New Roman"/>
          <w:szCs w:val="24"/>
        </w:rPr>
        <w:t xml:space="preserve">They </w:t>
      </w:r>
      <w:r w:rsidR="00245973">
        <w:rPr>
          <w:rFonts w:ascii="Times New Roman" w:hAnsi="Times New Roman"/>
          <w:szCs w:val="24"/>
        </w:rPr>
        <w:t>head</w:t>
      </w:r>
      <w:r w:rsidR="003E7511">
        <w:rPr>
          <w:rFonts w:ascii="Times New Roman" w:hAnsi="Times New Roman"/>
          <w:szCs w:val="24"/>
        </w:rPr>
        <w:t>ed</w:t>
      </w:r>
      <w:r w:rsidR="00245973">
        <w:rPr>
          <w:rFonts w:ascii="Times New Roman" w:hAnsi="Times New Roman"/>
          <w:szCs w:val="24"/>
        </w:rPr>
        <w:t xml:space="preserve"> back to the city</w:t>
      </w:r>
      <w:r>
        <w:rPr>
          <w:rFonts w:ascii="Times New Roman" w:hAnsi="Times New Roman"/>
          <w:szCs w:val="24"/>
        </w:rPr>
        <w:t xml:space="preserve"> well past midnight,</w:t>
      </w:r>
      <w:r w:rsidR="00245973">
        <w:rPr>
          <w:rFonts w:ascii="Times New Roman" w:hAnsi="Times New Roman"/>
          <w:szCs w:val="24"/>
        </w:rPr>
        <w:t xml:space="preserve"> </w:t>
      </w:r>
      <w:r>
        <w:rPr>
          <w:rFonts w:ascii="Times New Roman" w:hAnsi="Times New Roman"/>
          <w:szCs w:val="24"/>
        </w:rPr>
        <w:t>after</w:t>
      </w:r>
      <w:r w:rsidR="00245973">
        <w:rPr>
          <w:rFonts w:ascii="Times New Roman" w:hAnsi="Times New Roman"/>
          <w:szCs w:val="24"/>
        </w:rPr>
        <w:t xml:space="preserve"> </w:t>
      </w:r>
      <w:r>
        <w:rPr>
          <w:rFonts w:ascii="Times New Roman" w:hAnsi="Times New Roman"/>
          <w:szCs w:val="24"/>
        </w:rPr>
        <w:t>Charles had</w:t>
      </w:r>
      <w:r w:rsidR="00245973">
        <w:rPr>
          <w:rFonts w:ascii="Times New Roman" w:hAnsi="Times New Roman"/>
          <w:szCs w:val="24"/>
        </w:rPr>
        <w:t xml:space="preserve"> </w:t>
      </w:r>
      <w:r>
        <w:rPr>
          <w:rFonts w:ascii="Times New Roman" w:hAnsi="Times New Roman"/>
          <w:szCs w:val="24"/>
        </w:rPr>
        <w:t xml:space="preserve">completed the deal to purchase </w:t>
      </w:r>
      <w:r w:rsidR="004C6A96">
        <w:rPr>
          <w:rFonts w:ascii="Times New Roman" w:hAnsi="Times New Roman"/>
          <w:szCs w:val="24"/>
        </w:rPr>
        <w:t xml:space="preserve">close to 900 grams </w:t>
      </w:r>
      <w:r w:rsidR="00245973">
        <w:rPr>
          <w:rFonts w:ascii="Times New Roman" w:hAnsi="Times New Roman"/>
          <w:szCs w:val="24"/>
        </w:rPr>
        <w:t>of crack cocaine</w:t>
      </w:r>
      <w:r>
        <w:rPr>
          <w:rFonts w:ascii="Times New Roman" w:hAnsi="Times New Roman"/>
          <w:szCs w:val="24"/>
        </w:rPr>
        <w:t xml:space="preserve">. </w:t>
      </w:r>
      <w:r w:rsidR="003E7511">
        <w:rPr>
          <w:rFonts w:ascii="Times New Roman" w:hAnsi="Times New Roman"/>
          <w:szCs w:val="24"/>
        </w:rPr>
        <w:t>Sensitive to the possibility of being followed by law enforcement, Charles twice ditched the drugs</w:t>
      </w:r>
      <w:r w:rsidR="00A82521">
        <w:rPr>
          <w:rFonts w:ascii="Times New Roman" w:hAnsi="Times New Roman"/>
          <w:szCs w:val="24"/>
        </w:rPr>
        <w:t xml:space="preserve"> en route</w:t>
      </w:r>
      <w:r w:rsidR="003E7511">
        <w:rPr>
          <w:rFonts w:ascii="Times New Roman" w:hAnsi="Times New Roman"/>
          <w:szCs w:val="24"/>
        </w:rPr>
        <w:t xml:space="preserve"> before deciding he was not being followed after all. </w:t>
      </w:r>
      <w:r w:rsidR="00DC595B">
        <w:rPr>
          <w:rFonts w:ascii="Times New Roman" w:hAnsi="Times New Roman"/>
          <w:szCs w:val="24"/>
        </w:rPr>
        <w:t>In</w:t>
      </w:r>
      <w:r w:rsidR="003E7511">
        <w:rPr>
          <w:rFonts w:ascii="Times New Roman" w:hAnsi="Times New Roman"/>
          <w:szCs w:val="24"/>
        </w:rPr>
        <w:t xml:space="preserve"> the second instance, he enlisted Devon’s help in finding the</w:t>
      </w:r>
      <w:r w:rsidR="00565C8B">
        <w:rPr>
          <w:rFonts w:ascii="Times New Roman" w:hAnsi="Times New Roman"/>
          <w:szCs w:val="24"/>
        </w:rPr>
        <w:t xml:space="preserve"> previously ditched</w:t>
      </w:r>
      <w:r w:rsidR="003E7511">
        <w:rPr>
          <w:rFonts w:ascii="Times New Roman" w:hAnsi="Times New Roman"/>
          <w:szCs w:val="24"/>
        </w:rPr>
        <w:t xml:space="preserve"> crack-filled baggy</w:t>
      </w:r>
      <w:r w:rsidR="00DC595B">
        <w:rPr>
          <w:rFonts w:ascii="Times New Roman" w:hAnsi="Times New Roman"/>
          <w:szCs w:val="24"/>
        </w:rPr>
        <w:t>;</w:t>
      </w:r>
      <w:r w:rsidR="003E7511">
        <w:rPr>
          <w:rFonts w:ascii="Times New Roman" w:hAnsi="Times New Roman"/>
          <w:szCs w:val="24"/>
        </w:rPr>
        <w:t xml:space="preserve"> Devon ultimately located</w:t>
      </w:r>
      <w:r w:rsidR="00DC595B">
        <w:rPr>
          <w:rFonts w:ascii="Times New Roman" w:hAnsi="Times New Roman"/>
          <w:szCs w:val="24"/>
        </w:rPr>
        <w:t xml:space="preserve"> and retrieved</w:t>
      </w:r>
      <w:r w:rsidR="003E7511">
        <w:rPr>
          <w:rFonts w:ascii="Times New Roman" w:hAnsi="Times New Roman"/>
          <w:szCs w:val="24"/>
        </w:rPr>
        <w:t xml:space="preserve"> it. Upon returning to the highway, </w:t>
      </w:r>
      <w:r w:rsidR="00DC595B">
        <w:rPr>
          <w:rFonts w:ascii="Times New Roman" w:hAnsi="Times New Roman"/>
          <w:szCs w:val="24"/>
        </w:rPr>
        <w:t xml:space="preserve">the </w:t>
      </w:r>
      <w:r w:rsidR="003E7511">
        <w:rPr>
          <w:rFonts w:ascii="Times New Roman" w:hAnsi="Times New Roman"/>
          <w:szCs w:val="24"/>
        </w:rPr>
        <w:t xml:space="preserve">crack </w:t>
      </w:r>
      <w:r w:rsidR="003E7511">
        <w:rPr>
          <w:rFonts w:ascii="Times New Roman" w:hAnsi="Times New Roman"/>
          <w:szCs w:val="24"/>
        </w:rPr>
        <w:lastRenderedPageBreak/>
        <w:t xml:space="preserve">tucked under the front passenger seat </w:t>
      </w:r>
      <w:r w:rsidR="00565C8B">
        <w:rPr>
          <w:rFonts w:ascii="Times New Roman" w:hAnsi="Times New Roman"/>
          <w:szCs w:val="24"/>
        </w:rPr>
        <w:t>near</w:t>
      </w:r>
      <w:r w:rsidR="003E7511">
        <w:rPr>
          <w:rFonts w:ascii="Times New Roman" w:hAnsi="Times New Roman"/>
          <w:szCs w:val="24"/>
        </w:rPr>
        <w:t xml:space="preserve"> Devon’s feet, </w:t>
      </w:r>
      <w:r w:rsidR="00DC595B">
        <w:rPr>
          <w:rFonts w:ascii="Times New Roman" w:hAnsi="Times New Roman"/>
          <w:szCs w:val="24"/>
        </w:rPr>
        <w:t xml:space="preserve">a </w:t>
      </w:r>
      <w:r w:rsidR="003E7511">
        <w:rPr>
          <w:rFonts w:ascii="Times New Roman" w:hAnsi="Times New Roman"/>
          <w:szCs w:val="24"/>
        </w:rPr>
        <w:t>state patrol</w:t>
      </w:r>
      <w:r w:rsidR="00DC595B">
        <w:rPr>
          <w:rFonts w:ascii="Times New Roman" w:hAnsi="Times New Roman"/>
          <w:szCs w:val="24"/>
        </w:rPr>
        <w:t xml:space="preserve"> officer</w:t>
      </w:r>
      <w:r w:rsidR="003E7511">
        <w:rPr>
          <w:rFonts w:ascii="Times New Roman" w:hAnsi="Times New Roman"/>
          <w:szCs w:val="24"/>
        </w:rPr>
        <w:t xml:space="preserve"> pulled over the car, searched </w:t>
      </w:r>
      <w:r w:rsidR="00DC595B">
        <w:rPr>
          <w:rFonts w:ascii="Times New Roman" w:hAnsi="Times New Roman"/>
          <w:szCs w:val="24"/>
        </w:rPr>
        <w:t>it with the aid of drug-sniffing dogs</w:t>
      </w:r>
      <w:r w:rsidR="003E7511">
        <w:rPr>
          <w:rFonts w:ascii="Times New Roman" w:hAnsi="Times New Roman"/>
          <w:szCs w:val="24"/>
        </w:rPr>
        <w:t>, and arrested its occupants. Less than twelve hours later, three of the four car occupants</w:t>
      </w:r>
      <w:r w:rsidR="0086615E">
        <w:rPr>
          <w:rFonts w:ascii="Times New Roman" w:hAnsi="Times New Roman"/>
          <w:szCs w:val="24"/>
        </w:rPr>
        <w:t>--Devon, Charles, and Marina--</w:t>
      </w:r>
      <w:r w:rsidR="003E7511">
        <w:rPr>
          <w:rFonts w:ascii="Times New Roman" w:hAnsi="Times New Roman"/>
          <w:szCs w:val="24"/>
        </w:rPr>
        <w:t>were making initial appearances in federal court</w:t>
      </w:r>
      <w:r w:rsidR="0086615E">
        <w:rPr>
          <w:rFonts w:ascii="Times New Roman" w:hAnsi="Times New Roman"/>
          <w:szCs w:val="24"/>
        </w:rPr>
        <w:t>, about to face an indictment charging each with conspiracy to distribute crack cocaine</w:t>
      </w:r>
      <w:r w:rsidR="003E7511">
        <w:rPr>
          <w:rFonts w:ascii="Times New Roman" w:hAnsi="Times New Roman"/>
          <w:szCs w:val="24"/>
        </w:rPr>
        <w:t xml:space="preserve">. </w:t>
      </w:r>
      <w:r w:rsidR="00A82521">
        <w:rPr>
          <w:rFonts w:ascii="Times New Roman" w:hAnsi="Times New Roman"/>
          <w:szCs w:val="24"/>
        </w:rPr>
        <w:t>Devon’s girlfriend</w:t>
      </w:r>
      <w:r w:rsidR="003E7511">
        <w:rPr>
          <w:rFonts w:ascii="Times New Roman" w:hAnsi="Times New Roman"/>
          <w:szCs w:val="24"/>
        </w:rPr>
        <w:t xml:space="preserve"> was spared from federal prosecution for reasons only the U.S Attorney really knows. Eight months later, the three federal defendants</w:t>
      </w:r>
      <w:r w:rsidR="0086615E">
        <w:rPr>
          <w:rFonts w:ascii="Times New Roman" w:hAnsi="Times New Roman"/>
          <w:szCs w:val="24"/>
        </w:rPr>
        <w:t xml:space="preserve"> stood convicted and sentenced. </w:t>
      </w:r>
      <w:r w:rsidR="009E1310">
        <w:rPr>
          <w:rFonts w:ascii="Times New Roman" w:hAnsi="Times New Roman"/>
          <w:szCs w:val="24"/>
        </w:rPr>
        <w:t>Marina received a term of p</w:t>
      </w:r>
      <w:r w:rsidR="008B0C9F">
        <w:rPr>
          <w:rFonts w:ascii="Times New Roman" w:hAnsi="Times New Roman"/>
          <w:szCs w:val="24"/>
        </w:rPr>
        <w:t>robation and home confinement</w:t>
      </w:r>
      <w:r w:rsidR="00A82521">
        <w:rPr>
          <w:rFonts w:ascii="Times New Roman" w:hAnsi="Times New Roman"/>
          <w:szCs w:val="24"/>
        </w:rPr>
        <w:t xml:space="preserve"> for her part</w:t>
      </w:r>
      <w:r w:rsidR="008B0C9F">
        <w:rPr>
          <w:rFonts w:ascii="Times New Roman" w:hAnsi="Times New Roman"/>
          <w:szCs w:val="24"/>
        </w:rPr>
        <w:t xml:space="preserve">, </w:t>
      </w:r>
      <w:r w:rsidR="0086615E">
        <w:rPr>
          <w:rFonts w:ascii="Times New Roman" w:hAnsi="Times New Roman"/>
          <w:szCs w:val="24"/>
        </w:rPr>
        <w:t>Charles received 20 years (</w:t>
      </w:r>
      <w:r w:rsidR="006D608D">
        <w:rPr>
          <w:rFonts w:ascii="Times New Roman" w:hAnsi="Times New Roman"/>
          <w:szCs w:val="24"/>
        </w:rPr>
        <w:t xml:space="preserve">later reduced </w:t>
      </w:r>
      <w:r w:rsidR="00610879">
        <w:rPr>
          <w:rFonts w:ascii="Times New Roman" w:hAnsi="Times New Roman"/>
          <w:szCs w:val="24"/>
        </w:rPr>
        <w:t>by about 25%</w:t>
      </w:r>
      <w:r w:rsidR="009E1310">
        <w:rPr>
          <w:rFonts w:ascii="Times New Roman" w:hAnsi="Times New Roman"/>
          <w:szCs w:val="24"/>
        </w:rPr>
        <w:t>),</w:t>
      </w:r>
      <w:r w:rsidR="00DC595B">
        <w:rPr>
          <w:rFonts w:ascii="Times New Roman" w:hAnsi="Times New Roman"/>
          <w:szCs w:val="24"/>
        </w:rPr>
        <w:t xml:space="preserve"> and Devon received a sentence of life with no possibility of parole</w:t>
      </w:r>
      <w:r w:rsidR="0086615E">
        <w:rPr>
          <w:rFonts w:ascii="Times New Roman" w:hAnsi="Times New Roman"/>
          <w:szCs w:val="24"/>
        </w:rPr>
        <w:t xml:space="preserve">. </w:t>
      </w:r>
    </w:p>
    <w:p w14:paraId="072895A6" w14:textId="748E4A85" w:rsidR="004E4FA4" w:rsidRDefault="00A82521" w:rsidP="00681CC4">
      <w:pPr>
        <w:spacing w:line="480" w:lineRule="auto"/>
        <w:ind w:firstLine="720"/>
        <w:rPr>
          <w:rFonts w:ascii="Times New Roman" w:hAnsi="Times New Roman"/>
          <w:szCs w:val="24"/>
        </w:rPr>
      </w:pPr>
      <w:r>
        <w:t>How could it be</w:t>
      </w:r>
      <w:r w:rsidRPr="00DF5C50">
        <w:t xml:space="preserve"> that the person with the least culpability—and this fact was not disputed by anyone in this case—would end up being the one sentenced to life</w:t>
      </w:r>
      <w:r>
        <w:t xml:space="preserve">? </w:t>
      </w:r>
      <w:r w:rsidR="00725D16">
        <w:t>Not only was it merely possible, but it was the near-inevitable conclusion once Devon</w:t>
      </w:r>
      <w:r w:rsidR="000272C5">
        <w:t xml:space="preserve"> was charged in federal court and</w:t>
      </w:r>
      <w:r w:rsidR="00725D16">
        <w:t xml:space="preserve"> decline</w:t>
      </w:r>
      <w:r w:rsidR="00765751">
        <w:t>d</w:t>
      </w:r>
      <w:r w:rsidR="00725D16">
        <w:t xml:space="preserve"> to plead guilty</w:t>
      </w:r>
      <w:r w:rsidR="000272C5">
        <w:t xml:space="preserve"> to those charges</w:t>
      </w:r>
      <w:r w:rsidR="00725D16">
        <w:t xml:space="preserve">. </w:t>
      </w:r>
      <w:r w:rsidR="00725D16">
        <w:rPr>
          <w:rFonts w:ascii="Times New Roman" w:hAnsi="Times New Roman"/>
          <w:szCs w:val="24"/>
        </w:rPr>
        <w:t>Indeed, n</w:t>
      </w:r>
      <w:r w:rsidR="0004521D">
        <w:rPr>
          <w:rFonts w:ascii="Times New Roman" w:hAnsi="Times New Roman"/>
          <w:szCs w:val="24"/>
        </w:rPr>
        <w:t xml:space="preserve">early every aspect of </w:t>
      </w:r>
      <w:r w:rsidR="0086615E">
        <w:rPr>
          <w:rFonts w:ascii="Times New Roman" w:hAnsi="Times New Roman"/>
          <w:szCs w:val="24"/>
        </w:rPr>
        <w:t>Devon’s</w:t>
      </w:r>
      <w:r w:rsidR="0004521D">
        <w:rPr>
          <w:rFonts w:ascii="Times New Roman" w:hAnsi="Times New Roman"/>
          <w:szCs w:val="24"/>
        </w:rPr>
        <w:t xml:space="preserve"> </w:t>
      </w:r>
      <w:r w:rsidR="0086615E">
        <w:rPr>
          <w:rFonts w:ascii="Times New Roman" w:hAnsi="Times New Roman"/>
          <w:szCs w:val="24"/>
        </w:rPr>
        <w:t xml:space="preserve">experience </w:t>
      </w:r>
      <w:r w:rsidR="0004521D">
        <w:rPr>
          <w:rFonts w:ascii="Times New Roman" w:hAnsi="Times New Roman"/>
          <w:szCs w:val="24"/>
        </w:rPr>
        <w:t xml:space="preserve">exemplifies the most troublesome design features of the </w:t>
      </w:r>
      <w:r w:rsidR="00C63143">
        <w:rPr>
          <w:rFonts w:ascii="Times New Roman" w:hAnsi="Times New Roman"/>
          <w:szCs w:val="24"/>
        </w:rPr>
        <w:t xml:space="preserve">federal criminal justice system, from how he ended up charged in federal court to the legal provisions that allow for a life without parole sentence for </w:t>
      </w:r>
      <w:r w:rsidR="002E473C">
        <w:rPr>
          <w:rFonts w:ascii="Times New Roman" w:hAnsi="Times New Roman"/>
          <w:szCs w:val="24"/>
        </w:rPr>
        <w:t>his participation in</w:t>
      </w:r>
      <w:r w:rsidR="00C63143">
        <w:rPr>
          <w:rFonts w:ascii="Times New Roman" w:hAnsi="Times New Roman"/>
          <w:szCs w:val="24"/>
        </w:rPr>
        <w:t xml:space="preserve"> </w:t>
      </w:r>
      <w:r w:rsidR="002E473C">
        <w:rPr>
          <w:rFonts w:ascii="Times New Roman" w:hAnsi="Times New Roman"/>
          <w:szCs w:val="24"/>
        </w:rPr>
        <w:t>this crime</w:t>
      </w:r>
      <w:r w:rsidR="00565C8B">
        <w:rPr>
          <w:rFonts w:ascii="Times New Roman" w:hAnsi="Times New Roman"/>
          <w:szCs w:val="24"/>
        </w:rPr>
        <w:t>. In doing so,</w:t>
      </w:r>
      <w:r w:rsidR="00C63143">
        <w:rPr>
          <w:rFonts w:ascii="Times New Roman" w:hAnsi="Times New Roman"/>
          <w:szCs w:val="24"/>
        </w:rPr>
        <w:t xml:space="preserve"> </w:t>
      </w:r>
      <w:r w:rsidR="00565C8B">
        <w:rPr>
          <w:rFonts w:ascii="Times New Roman" w:hAnsi="Times New Roman"/>
          <w:szCs w:val="24"/>
        </w:rPr>
        <w:t xml:space="preserve">it </w:t>
      </w:r>
      <w:r w:rsidR="00C63143">
        <w:rPr>
          <w:rFonts w:ascii="Times New Roman" w:hAnsi="Times New Roman"/>
          <w:szCs w:val="24"/>
        </w:rPr>
        <w:t>illustrates why this system has especially targeted people of color for prosecution and extremely long prison sentences</w:t>
      </w:r>
      <w:r w:rsidR="00565C8B">
        <w:rPr>
          <w:rFonts w:ascii="Times New Roman" w:hAnsi="Times New Roman"/>
          <w:szCs w:val="24"/>
        </w:rPr>
        <w:t>. The district in which Devon was prosecuted has led the nation in using punitive federal law to target crack users and sellers, nearly all of whom have been African-American. His case</w:t>
      </w:r>
      <w:r w:rsidR="0086615E">
        <w:rPr>
          <w:rFonts w:ascii="Times New Roman" w:hAnsi="Times New Roman"/>
          <w:szCs w:val="24"/>
        </w:rPr>
        <w:t xml:space="preserve"> </w:t>
      </w:r>
      <w:r w:rsidR="00565C8B">
        <w:rPr>
          <w:rFonts w:ascii="Times New Roman" w:hAnsi="Times New Roman"/>
          <w:szCs w:val="24"/>
        </w:rPr>
        <w:t xml:space="preserve">also </w:t>
      </w:r>
      <w:r w:rsidR="0086615E">
        <w:rPr>
          <w:rFonts w:ascii="Times New Roman" w:hAnsi="Times New Roman"/>
          <w:szCs w:val="24"/>
        </w:rPr>
        <w:t>throws in</w:t>
      </w:r>
      <w:r w:rsidR="002E473C">
        <w:rPr>
          <w:rFonts w:ascii="Times New Roman" w:hAnsi="Times New Roman"/>
          <w:szCs w:val="24"/>
        </w:rPr>
        <w:t>to</w:t>
      </w:r>
      <w:r w:rsidR="0086615E">
        <w:rPr>
          <w:rFonts w:ascii="Times New Roman" w:hAnsi="Times New Roman"/>
          <w:szCs w:val="24"/>
        </w:rPr>
        <w:t xml:space="preserve"> sharp relief the ideals of fairness and uniformity that are supposed to underpin the federal justice system and the inequities</w:t>
      </w:r>
      <w:r w:rsidR="00565C8B">
        <w:rPr>
          <w:rFonts w:ascii="Times New Roman" w:hAnsi="Times New Roman"/>
          <w:szCs w:val="24"/>
        </w:rPr>
        <w:t xml:space="preserve"> in practice</w:t>
      </w:r>
      <w:r w:rsidR="0086615E">
        <w:rPr>
          <w:rFonts w:ascii="Times New Roman" w:hAnsi="Times New Roman"/>
          <w:szCs w:val="24"/>
        </w:rPr>
        <w:t xml:space="preserve"> that come from an over-abundance of </w:t>
      </w:r>
      <w:r w:rsidR="00565C8B">
        <w:rPr>
          <w:rFonts w:ascii="Times New Roman" w:hAnsi="Times New Roman"/>
          <w:szCs w:val="24"/>
        </w:rPr>
        <w:t xml:space="preserve">power afforded to prosecutors. Devon ended up with a life without parole sentence because the prosecutor had the unique power to compel it; even the sentencing judge could do nothing about that. </w:t>
      </w:r>
      <w:r w:rsidR="00C63143">
        <w:rPr>
          <w:rFonts w:ascii="Times New Roman" w:hAnsi="Times New Roman"/>
          <w:szCs w:val="24"/>
        </w:rPr>
        <w:t>Finally</w:t>
      </w:r>
      <w:r w:rsidR="004316BE">
        <w:rPr>
          <w:rFonts w:ascii="Times New Roman" w:hAnsi="Times New Roman"/>
          <w:szCs w:val="24"/>
        </w:rPr>
        <w:t>,</w:t>
      </w:r>
      <w:r w:rsidR="00C63143">
        <w:rPr>
          <w:rFonts w:ascii="Times New Roman" w:hAnsi="Times New Roman"/>
          <w:szCs w:val="24"/>
        </w:rPr>
        <w:t xml:space="preserve"> </w:t>
      </w:r>
      <w:r w:rsidR="00C63143">
        <w:rPr>
          <w:rFonts w:ascii="Times New Roman" w:hAnsi="Times New Roman"/>
          <w:szCs w:val="24"/>
        </w:rPr>
        <w:lastRenderedPageBreak/>
        <w:t xml:space="preserve">Devon’s case tragically demonstrates </w:t>
      </w:r>
      <w:r w:rsidR="009E1310">
        <w:rPr>
          <w:rFonts w:ascii="Times New Roman" w:hAnsi="Times New Roman"/>
          <w:szCs w:val="24"/>
        </w:rPr>
        <w:t xml:space="preserve">a </w:t>
      </w:r>
      <w:r w:rsidR="00C63143">
        <w:rPr>
          <w:rFonts w:ascii="Times New Roman" w:hAnsi="Times New Roman"/>
          <w:szCs w:val="24"/>
        </w:rPr>
        <w:t>fundamental perversion of justice that underlies contemporary criminal justice; that is</w:t>
      </w:r>
      <w:r w:rsidR="0086615E">
        <w:rPr>
          <w:rFonts w:ascii="Times New Roman" w:hAnsi="Times New Roman"/>
          <w:szCs w:val="24"/>
        </w:rPr>
        <w:t>,</w:t>
      </w:r>
      <w:r w:rsidR="00C63143">
        <w:rPr>
          <w:rFonts w:ascii="Times New Roman" w:hAnsi="Times New Roman"/>
          <w:szCs w:val="24"/>
        </w:rPr>
        <w:t xml:space="preserve"> that the costs of asserting one’s rights in criminal court are so high that few people dare t</w:t>
      </w:r>
      <w:r w:rsidR="004316BE">
        <w:rPr>
          <w:rFonts w:ascii="Times New Roman" w:hAnsi="Times New Roman"/>
          <w:szCs w:val="24"/>
        </w:rPr>
        <w:t>ake the risk. Devon did</w:t>
      </w:r>
      <w:r w:rsidR="008D103D">
        <w:rPr>
          <w:rFonts w:ascii="Times New Roman" w:hAnsi="Times New Roman"/>
          <w:szCs w:val="24"/>
        </w:rPr>
        <w:t xml:space="preserve"> </w:t>
      </w:r>
      <w:r w:rsidR="00610879">
        <w:rPr>
          <w:rFonts w:ascii="Times New Roman" w:hAnsi="Times New Roman"/>
          <w:szCs w:val="24"/>
        </w:rPr>
        <w:t>exercise</w:t>
      </w:r>
      <w:r w:rsidR="008D103D">
        <w:rPr>
          <w:rFonts w:ascii="Times New Roman" w:hAnsi="Times New Roman"/>
          <w:szCs w:val="24"/>
        </w:rPr>
        <w:t xml:space="preserve"> his rights in his case</w:t>
      </w:r>
      <w:r w:rsidR="002E473C">
        <w:rPr>
          <w:rFonts w:ascii="Times New Roman" w:hAnsi="Times New Roman"/>
          <w:szCs w:val="24"/>
        </w:rPr>
        <w:t xml:space="preserve"> by going to trial</w:t>
      </w:r>
      <w:r w:rsidR="004316BE">
        <w:rPr>
          <w:rFonts w:ascii="Times New Roman" w:hAnsi="Times New Roman"/>
          <w:szCs w:val="24"/>
        </w:rPr>
        <w:t xml:space="preserve">, and </w:t>
      </w:r>
      <w:r w:rsidR="008D103D">
        <w:rPr>
          <w:rFonts w:ascii="Times New Roman" w:hAnsi="Times New Roman"/>
          <w:szCs w:val="24"/>
        </w:rPr>
        <w:t xml:space="preserve">ultimately </w:t>
      </w:r>
      <w:r w:rsidR="004316BE">
        <w:rPr>
          <w:rFonts w:ascii="Times New Roman" w:hAnsi="Times New Roman"/>
          <w:szCs w:val="24"/>
        </w:rPr>
        <w:t>was condemned to the custody of the Bureau of Prisons</w:t>
      </w:r>
      <w:r w:rsidR="00C63143">
        <w:rPr>
          <w:rFonts w:ascii="Times New Roman" w:hAnsi="Times New Roman"/>
          <w:szCs w:val="24"/>
        </w:rPr>
        <w:t xml:space="preserve"> </w:t>
      </w:r>
      <w:r w:rsidR="004316BE">
        <w:rPr>
          <w:rFonts w:ascii="Times New Roman" w:hAnsi="Times New Roman"/>
          <w:szCs w:val="24"/>
        </w:rPr>
        <w:t xml:space="preserve">for the rest of his life. </w:t>
      </w:r>
    </w:p>
    <w:p w14:paraId="2EE23C53" w14:textId="441B932A" w:rsidR="008D103D" w:rsidRPr="008D103D" w:rsidRDefault="008D103D" w:rsidP="004E4FA4">
      <w:pPr>
        <w:spacing w:line="480" w:lineRule="auto"/>
        <w:ind w:firstLine="720"/>
        <w:rPr>
          <w:rFonts w:ascii="Times New Roman" w:hAnsi="Times New Roman"/>
          <w:szCs w:val="24"/>
        </w:rPr>
      </w:pPr>
      <w:r>
        <w:rPr>
          <w:rFonts w:ascii="Times New Roman" w:hAnsi="Times New Roman"/>
          <w:szCs w:val="24"/>
        </w:rPr>
        <w:t xml:space="preserve">Devon’s story will reappear throughout this book not only to elucidate how federal drug laws are deployed in practice but to foreground the human cost of this failed war. As such, it provides a heart and soul to my analysis of a systemically flawed system of justice. </w:t>
      </w:r>
    </w:p>
    <w:p w14:paraId="336A5506" w14:textId="44EBEFCD" w:rsidR="004E4FA4" w:rsidRDefault="004E4FA4" w:rsidP="004E4FA4">
      <w:pPr>
        <w:spacing w:line="480" w:lineRule="auto"/>
        <w:ind w:right="-90"/>
        <w:jc w:val="center"/>
        <w:rPr>
          <w:rFonts w:ascii="Times New Roman" w:hAnsi="Times New Roman"/>
          <w:szCs w:val="24"/>
        </w:rPr>
      </w:pPr>
      <w:r>
        <w:rPr>
          <w:rFonts w:ascii="Times New Roman" w:hAnsi="Times New Roman"/>
          <w:szCs w:val="24"/>
        </w:rPr>
        <w:t>***********</w:t>
      </w:r>
      <w:r w:rsidR="005F3E71">
        <w:rPr>
          <w:rFonts w:ascii="Times New Roman" w:hAnsi="Times New Roman"/>
          <w:szCs w:val="24"/>
        </w:rPr>
        <w:t>****</w:t>
      </w:r>
    </w:p>
    <w:p w14:paraId="32DDD5B5" w14:textId="7251EA5D" w:rsidR="009E1310" w:rsidRDefault="009E1310" w:rsidP="009E1310">
      <w:pPr>
        <w:spacing w:line="480" w:lineRule="auto"/>
        <w:ind w:right="-90" w:firstLine="720"/>
        <w:rPr>
          <w:rFonts w:ascii="Times New Roman" w:hAnsi="Times New Roman"/>
          <w:szCs w:val="24"/>
        </w:rPr>
      </w:pPr>
      <w:r>
        <w:rPr>
          <w:rFonts w:ascii="Times New Roman" w:hAnsi="Times New Roman"/>
          <w:szCs w:val="24"/>
        </w:rPr>
        <w:t xml:space="preserve">The </w:t>
      </w:r>
      <w:r w:rsidRPr="00B053FF">
        <w:rPr>
          <w:rFonts w:ascii="Times New Roman" w:hAnsi="Times New Roman"/>
          <w:szCs w:val="24"/>
        </w:rPr>
        <w:t>contemporary federal war on drugs</w:t>
      </w:r>
      <w:r>
        <w:rPr>
          <w:rFonts w:ascii="Times New Roman" w:hAnsi="Times New Roman"/>
          <w:szCs w:val="24"/>
        </w:rPr>
        <w:t xml:space="preserve"> is popularly understood as a political project, emerging especially from directives and action </w:t>
      </w:r>
      <w:r w:rsidR="002E473C">
        <w:rPr>
          <w:rFonts w:ascii="Times New Roman" w:hAnsi="Times New Roman"/>
          <w:szCs w:val="24"/>
        </w:rPr>
        <w:t>out of</w:t>
      </w:r>
      <w:r>
        <w:rPr>
          <w:rFonts w:ascii="Times New Roman" w:hAnsi="Times New Roman"/>
          <w:szCs w:val="24"/>
        </w:rPr>
        <w:t xml:space="preserve"> Reagan’s White House. While politics, in Reagan’s era and in previous </w:t>
      </w:r>
      <w:r w:rsidR="00765751">
        <w:rPr>
          <w:rFonts w:ascii="Times New Roman" w:hAnsi="Times New Roman"/>
          <w:szCs w:val="24"/>
        </w:rPr>
        <w:t>ones</w:t>
      </w:r>
      <w:r>
        <w:rPr>
          <w:rFonts w:ascii="Times New Roman" w:hAnsi="Times New Roman"/>
          <w:szCs w:val="24"/>
        </w:rPr>
        <w:t xml:space="preserve">, </w:t>
      </w:r>
      <w:r w:rsidR="004F607C">
        <w:rPr>
          <w:rFonts w:ascii="Times New Roman" w:hAnsi="Times New Roman"/>
          <w:szCs w:val="24"/>
        </w:rPr>
        <w:t xml:space="preserve">has </w:t>
      </w:r>
      <w:r>
        <w:rPr>
          <w:rFonts w:ascii="Times New Roman" w:hAnsi="Times New Roman"/>
          <w:szCs w:val="24"/>
        </w:rPr>
        <w:t xml:space="preserve">certainly played a huge role </w:t>
      </w:r>
      <w:r w:rsidR="004F607C">
        <w:rPr>
          <w:rFonts w:ascii="Times New Roman" w:hAnsi="Times New Roman"/>
          <w:szCs w:val="24"/>
        </w:rPr>
        <w:t>in raising concern about illegal drugs, the lifeblood of the federal war on dru</w:t>
      </w:r>
      <w:r w:rsidR="002E473C">
        <w:rPr>
          <w:rFonts w:ascii="Times New Roman" w:hAnsi="Times New Roman"/>
          <w:szCs w:val="24"/>
        </w:rPr>
        <w:t>gs is criminal law. Indeed, the contemporary</w:t>
      </w:r>
      <w:r w:rsidR="004F607C">
        <w:rPr>
          <w:rFonts w:ascii="Times New Roman" w:hAnsi="Times New Roman"/>
          <w:szCs w:val="24"/>
        </w:rPr>
        <w:t xml:space="preserve"> “war” emerged in the context of </w:t>
      </w:r>
      <w:r w:rsidRPr="00B053FF">
        <w:rPr>
          <w:rFonts w:ascii="Times New Roman" w:hAnsi="Times New Roman"/>
          <w:szCs w:val="24"/>
        </w:rPr>
        <w:t>a broader criminal law-making and sentencing policy revolution that dramatically increased the federal government’s punitive power</w:t>
      </w:r>
      <w:r>
        <w:rPr>
          <w:rFonts w:ascii="Times New Roman" w:hAnsi="Times New Roman"/>
          <w:szCs w:val="24"/>
        </w:rPr>
        <w:t>,</w:t>
      </w:r>
      <w:r>
        <w:rPr>
          <w:rStyle w:val="FootnoteReference"/>
          <w:rFonts w:ascii="Times New Roman" w:hAnsi="Times New Roman"/>
          <w:szCs w:val="24"/>
        </w:rPr>
        <w:footnoteReference w:id="2"/>
      </w:r>
      <w:r w:rsidRPr="00B053FF">
        <w:rPr>
          <w:rFonts w:ascii="Times New Roman" w:hAnsi="Times New Roman"/>
          <w:szCs w:val="24"/>
        </w:rPr>
        <w:t xml:space="preserve"> especially in the regulation of illicit drugs. In particular, in twin developments during the 1980s, Congress passed the Sentencing Reform Act of 1984, authorizing the construction of a complex presumptive Guidelines sentencing system designed to constrain judicial discretion in determining sanctions, and it began to directly enact a bevy of mandatory minimum statutes, including those applicable to certain drug offenses. </w:t>
      </w:r>
      <w:r>
        <w:rPr>
          <w:rFonts w:ascii="Times New Roman" w:hAnsi="Times New Roman"/>
          <w:szCs w:val="24"/>
        </w:rPr>
        <w:t>Most infamously,</w:t>
      </w:r>
      <w:r w:rsidRPr="00B053FF">
        <w:rPr>
          <w:rFonts w:ascii="Times New Roman" w:hAnsi="Times New Roman"/>
          <w:szCs w:val="24"/>
        </w:rPr>
        <w:t xml:space="preserve"> Congress passed the Anti-Drug Abuse Act of 1986, a provision of which </w:t>
      </w:r>
      <w:r w:rsidR="002E473C">
        <w:rPr>
          <w:rFonts w:ascii="Times New Roman" w:hAnsi="Times New Roman"/>
          <w:szCs w:val="24"/>
        </w:rPr>
        <w:t>incorporate</w:t>
      </w:r>
      <w:r w:rsidR="005F3E71">
        <w:rPr>
          <w:rFonts w:ascii="Times New Roman" w:hAnsi="Times New Roman"/>
          <w:szCs w:val="24"/>
        </w:rPr>
        <w:t>d</w:t>
      </w:r>
      <w:r w:rsidR="002E473C">
        <w:rPr>
          <w:rFonts w:ascii="Times New Roman" w:hAnsi="Times New Roman"/>
          <w:szCs w:val="24"/>
        </w:rPr>
        <w:t xml:space="preserve"> a 100-1 powder-crack cocaine disparity whereby, for instance,</w:t>
      </w:r>
      <w:r w:rsidRPr="00B053FF">
        <w:rPr>
          <w:rFonts w:ascii="Times New Roman" w:hAnsi="Times New Roman"/>
          <w:szCs w:val="24"/>
        </w:rPr>
        <w:t xml:space="preserve"> offenses involving just 5 grams o</w:t>
      </w:r>
      <w:r w:rsidR="002E473C">
        <w:rPr>
          <w:rFonts w:ascii="Times New Roman" w:hAnsi="Times New Roman"/>
          <w:szCs w:val="24"/>
        </w:rPr>
        <w:t xml:space="preserve">f crack cocaine </w:t>
      </w:r>
      <w:r w:rsidR="00765751">
        <w:rPr>
          <w:rFonts w:ascii="Times New Roman" w:hAnsi="Times New Roman"/>
          <w:szCs w:val="24"/>
        </w:rPr>
        <w:t xml:space="preserve">were subject to </w:t>
      </w:r>
      <w:r w:rsidRPr="00B053FF">
        <w:rPr>
          <w:rFonts w:ascii="Times New Roman" w:hAnsi="Times New Roman"/>
          <w:szCs w:val="24"/>
        </w:rPr>
        <w:t xml:space="preserve">the same 5 year mandatory minimum sentence as offenses involving 500 grams of </w:t>
      </w:r>
      <w:r>
        <w:rPr>
          <w:rFonts w:ascii="Times New Roman" w:hAnsi="Times New Roman"/>
          <w:szCs w:val="24"/>
        </w:rPr>
        <w:t>powder cocaine</w:t>
      </w:r>
      <w:r w:rsidRPr="00B053FF">
        <w:rPr>
          <w:rFonts w:ascii="Times New Roman" w:hAnsi="Times New Roman"/>
          <w:szCs w:val="24"/>
        </w:rPr>
        <w:t xml:space="preserve">. The legal structures that materialized from this </w:t>
      </w:r>
      <w:r w:rsidRPr="00B053FF">
        <w:rPr>
          <w:rFonts w:ascii="Times New Roman" w:hAnsi="Times New Roman"/>
          <w:szCs w:val="24"/>
        </w:rPr>
        <w:lastRenderedPageBreak/>
        <w:t xml:space="preserve">line of Congressional action triggered dramatic changes to day-to-day federal criminal justice, largely by incentivizing aggressive prosecution of drug crimes in ways both anticipated and unanticipated. </w:t>
      </w:r>
    </w:p>
    <w:p w14:paraId="444AB017" w14:textId="54B3C2DC" w:rsidR="00DC595B" w:rsidRDefault="004316BE" w:rsidP="00DC595B">
      <w:pPr>
        <w:spacing w:line="480" w:lineRule="auto"/>
        <w:ind w:right="-90" w:firstLine="720"/>
        <w:rPr>
          <w:rFonts w:ascii="Times New Roman" w:hAnsi="Times New Roman"/>
          <w:szCs w:val="24"/>
        </w:rPr>
      </w:pPr>
      <w:r>
        <w:rPr>
          <w:rFonts w:ascii="Times New Roman" w:hAnsi="Times New Roman"/>
          <w:szCs w:val="24"/>
        </w:rPr>
        <w:t>My goal with this book is to provide</w:t>
      </w:r>
      <w:r w:rsidR="00FC07D5" w:rsidRPr="00B053FF">
        <w:rPr>
          <w:rFonts w:ascii="Times New Roman" w:hAnsi="Times New Roman"/>
          <w:szCs w:val="24"/>
        </w:rPr>
        <w:t xml:space="preserve"> a critical analytic link between the well-told, front-end story of the national </w:t>
      </w:r>
      <w:r w:rsidR="004F607C">
        <w:rPr>
          <w:rFonts w:ascii="Times New Roman" w:hAnsi="Times New Roman"/>
          <w:szCs w:val="24"/>
        </w:rPr>
        <w:t xml:space="preserve">drug war </w:t>
      </w:r>
      <w:r w:rsidR="00FC07D5" w:rsidRPr="00B053FF">
        <w:rPr>
          <w:rFonts w:ascii="Times New Roman" w:hAnsi="Times New Roman"/>
          <w:szCs w:val="24"/>
        </w:rPr>
        <w:t>politics</w:t>
      </w:r>
      <w:r w:rsidR="004F607C">
        <w:rPr>
          <w:rFonts w:ascii="Times New Roman" w:hAnsi="Times New Roman"/>
          <w:szCs w:val="24"/>
        </w:rPr>
        <w:t xml:space="preserve"> that spawned punitive laws</w:t>
      </w:r>
      <w:r w:rsidR="006D1767">
        <w:rPr>
          <w:rStyle w:val="FootnoteReference"/>
          <w:rFonts w:ascii="Times New Roman" w:hAnsi="Times New Roman"/>
          <w:szCs w:val="24"/>
        </w:rPr>
        <w:footnoteReference w:id="3"/>
      </w:r>
      <w:r w:rsidR="001C5DF6" w:rsidRPr="00B053FF">
        <w:rPr>
          <w:rFonts w:ascii="Times New Roman" w:hAnsi="Times New Roman"/>
          <w:szCs w:val="24"/>
        </w:rPr>
        <w:t xml:space="preserve"> </w:t>
      </w:r>
      <w:r w:rsidR="00FC07D5" w:rsidRPr="00B053FF">
        <w:rPr>
          <w:rFonts w:ascii="Times New Roman" w:hAnsi="Times New Roman"/>
          <w:szCs w:val="24"/>
        </w:rPr>
        <w:t>and the well-documented back-end story of its consequences, including its contributory role to mass incarceration</w:t>
      </w:r>
      <w:r w:rsidR="00526D46">
        <w:rPr>
          <w:rFonts w:ascii="Times New Roman" w:hAnsi="Times New Roman"/>
          <w:szCs w:val="24"/>
        </w:rPr>
        <w:t>,</w:t>
      </w:r>
      <w:r w:rsidR="005303EF">
        <w:rPr>
          <w:rStyle w:val="FootnoteReference"/>
          <w:rFonts w:ascii="Times New Roman" w:hAnsi="Times New Roman"/>
          <w:szCs w:val="24"/>
        </w:rPr>
        <w:footnoteReference w:id="4"/>
      </w:r>
      <w:r w:rsidR="00FC07D5" w:rsidRPr="00B053FF">
        <w:rPr>
          <w:rFonts w:ascii="Times New Roman" w:hAnsi="Times New Roman"/>
          <w:szCs w:val="24"/>
        </w:rPr>
        <w:t xml:space="preserve"> </w:t>
      </w:r>
      <w:r w:rsidR="00EE3D10" w:rsidRPr="00B053FF">
        <w:rPr>
          <w:rFonts w:ascii="Times New Roman" w:eastAsia="Times New Roman" w:hAnsi="Times New Roman"/>
          <w:color w:val="000000"/>
          <w:szCs w:val="24"/>
          <w:shd w:val="clear" w:color="auto" w:fill="FFFFFF"/>
        </w:rPr>
        <w:t xml:space="preserve">to uncover how </w:t>
      </w:r>
      <w:r w:rsidR="002E473C">
        <w:rPr>
          <w:rFonts w:ascii="Times New Roman" w:eastAsia="Times New Roman" w:hAnsi="Times New Roman"/>
          <w:color w:val="000000"/>
          <w:szCs w:val="24"/>
          <w:shd w:val="clear" w:color="auto" w:fill="FFFFFF"/>
        </w:rPr>
        <w:t>federal</w:t>
      </w:r>
      <w:r w:rsidR="001C5DF6" w:rsidRPr="00B053FF">
        <w:rPr>
          <w:rFonts w:ascii="Times New Roman" w:eastAsia="Times New Roman" w:hAnsi="Times New Roman"/>
          <w:color w:val="000000"/>
          <w:szCs w:val="24"/>
          <w:shd w:val="clear" w:color="auto" w:fill="FFFFFF"/>
        </w:rPr>
        <w:t xml:space="preserve"> </w:t>
      </w:r>
      <w:r w:rsidR="00EE3D10" w:rsidRPr="00B053FF">
        <w:rPr>
          <w:rFonts w:ascii="Times New Roman" w:eastAsia="Times New Roman" w:hAnsi="Times New Roman"/>
          <w:color w:val="000000"/>
          <w:szCs w:val="24"/>
          <w:shd w:val="clear" w:color="auto" w:fill="FFFFFF"/>
        </w:rPr>
        <w:t xml:space="preserve">drug laws on-the-books come to life in full force. </w:t>
      </w:r>
      <w:r w:rsidR="00EE3D10" w:rsidRPr="00B053FF">
        <w:rPr>
          <w:rFonts w:ascii="Times New Roman" w:hAnsi="Times New Roman"/>
          <w:szCs w:val="24"/>
        </w:rPr>
        <w:t>B</w:t>
      </w:r>
      <w:r w:rsidR="00FC07D5" w:rsidRPr="00B053FF">
        <w:rPr>
          <w:rFonts w:ascii="Times New Roman" w:hAnsi="Times New Roman"/>
          <w:szCs w:val="24"/>
        </w:rPr>
        <w:t xml:space="preserve">y shifting focus to </w:t>
      </w:r>
      <w:r w:rsidR="000C7470" w:rsidRPr="00B053FF">
        <w:rPr>
          <w:rFonts w:ascii="Times New Roman" w:hAnsi="Times New Roman"/>
          <w:szCs w:val="24"/>
        </w:rPr>
        <w:t>the adjudication practices responsible for</w:t>
      </w:r>
      <w:r w:rsidR="00FC07D5" w:rsidRPr="00B053FF">
        <w:rPr>
          <w:rFonts w:ascii="Times New Roman" w:hAnsi="Times New Roman"/>
          <w:szCs w:val="24"/>
        </w:rPr>
        <w:t xml:space="preserve"> </w:t>
      </w:r>
      <w:r w:rsidR="000C7470" w:rsidRPr="00B053FF">
        <w:rPr>
          <w:rFonts w:ascii="Times New Roman" w:hAnsi="Times New Roman"/>
          <w:szCs w:val="24"/>
        </w:rPr>
        <w:t>producing</w:t>
      </w:r>
      <w:r w:rsidR="00FC07D5" w:rsidRPr="00B053FF">
        <w:rPr>
          <w:rFonts w:ascii="Times New Roman" w:hAnsi="Times New Roman"/>
          <w:szCs w:val="24"/>
        </w:rPr>
        <w:t xml:space="preserve"> </w:t>
      </w:r>
      <w:r w:rsidR="004A14BE" w:rsidRPr="00B053FF">
        <w:rPr>
          <w:rFonts w:ascii="Times New Roman" w:hAnsi="Times New Roman"/>
          <w:szCs w:val="24"/>
        </w:rPr>
        <w:t xml:space="preserve">federally </w:t>
      </w:r>
      <w:r w:rsidR="00FC07D5" w:rsidRPr="00B053FF">
        <w:rPr>
          <w:rFonts w:ascii="Times New Roman" w:hAnsi="Times New Roman"/>
          <w:szCs w:val="24"/>
        </w:rPr>
        <w:t>sentenced drug defendants</w:t>
      </w:r>
      <w:r w:rsidR="00EE3D10" w:rsidRPr="00B053FF">
        <w:rPr>
          <w:rFonts w:ascii="Times New Roman" w:hAnsi="Times New Roman"/>
          <w:szCs w:val="24"/>
        </w:rPr>
        <w:t xml:space="preserve">, </w:t>
      </w:r>
      <w:r w:rsidR="004F607C">
        <w:rPr>
          <w:rFonts w:ascii="Times New Roman" w:hAnsi="Times New Roman"/>
          <w:szCs w:val="24"/>
        </w:rPr>
        <w:t>I</w:t>
      </w:r>
      <w:r w:rsidR="00EE3D10" w:rsidRPr="00B053FF">
        <w:rPr>
          <w:rFonts w:ascii="Times New Roman" w:hAnsi="Times New Roman"/>
          <w:szCs w:val="24"/>
        </w:rPr>
        <w:t xml:space="preserve"> tell</w:t>
      </w:r>
      <w:r w:rsidR="00FC07D5" w:rsidRPr="00B053FF">
        <w:rPr>
          <w:rFonts w:ascii="Times New Roman" w:hAnsi="Times New Roman"/>
          <w:szCs w:val="24"/>
        </w:rPr>
        <w:t xml:space="preserve"> a story about the realization of legal power: how its possibilities </w:t>
      </w:r>
      <w:r w:rsidR="000C7470" w:rsidRPr="00B053FF">
        <w:rPr>
          <w:rFonts w:ascii="Times New Roman" w:hAnsi="Times New Roman"/>
          <w:szCs w:val="24"/>
        </w:rPr>
        <w:t xml:space="preserve">and potentials </w:t>
      </w:r>
      <w:r w:rsidR="00FC07D5" w:rsidRPr="00B053FF">
        <w:rPr>
          <w:rFonts w:ascii="Times New Roman" w:hAnsi="Times New Roman"/>
          <w:szCs w:val="24"/>
        </w:rPr>
        <w:t xml:space="preserve">are </w:t>
      </w:r>
      <w:r w:rsidR="002D6457" w:rsidRPr="00B053FF">
        <w:rPr>
          <w:rFonts w:ascii="Times New Roman" w:hAnsi="Times New Roman"/>
          <w:szCs w:val="24"/>
        </w:rPr>
        <w:t>understood</w:t>
      </w:r>
      <w:r w:rsidR="00FC07D5" w:rsidRPr="00B053FF">
        <w:rPr>
          <w:rFonts w:ascii="Times New Roman" w:hAnsi="Times New Roman"/>
          <w:szCs w:val="24"/>
        </w:rPr>
        <w:t xml:space="preserve">, </w:t>
      </w:r>
      <w:r w:rsidR="00B97024" w:rsidRPr="00B053FF">
        <w:rPr>
          <w:rFonts w:ascii="Times New Roman" w:hAnsi="Times New Roman"/>
          <w:szCs w:val="24"/>
        </w:rPr>
        <w:t xml:space="preserve">and </w:t>
      </w:r>
      <w:r w:rsidR="00FC07D5" w:rsidRPr="00B053FF">
        <w:rPr>
          <w:rFonts w:ascii="Times New Roman" w:hAnsi="Times New Roman"/>
          <w:szCs w:val="24"/>
        </w:rPr>
        <w:t xml:space="preserve">how it is deployed to compel guilty pleas and </w:t>
      </w:r>
      <w:r w:rsidR="00030001" w:rsidRPr="00B053FF">
        <w:rPr>
          <w:rFonts w:ascii="Times New Roman" w:hAnsi="Times New Roman"/>
          <w:szCs w:val="24"/>
        </w:rPr>
        <w:t xml:space="preserve">induce lengthy prison sentences. </w:t>
      </w:r>
    </w:p>
    <w:p w14:paraId="1248247D" w14:textId="5BEC7726" w:rsidR="00C75FAF" w:rsidRPr="00B053FF" w:rsidRDefault="00454EA8" w:rsidP="00D00505">
      <w:pPr>
        <w:spacing w:line="480" w:lineRule="auto"/>
        <w:ind w:firstLine="720"/>
        <w:rPr>
          <w:rFonts w:ascii="Times New Roman" w:hAnsi="Times New Roman"/>
          <w:szCs w:val="24"/>
        </w:rPr>
      </w:pPr>
      <w:r w:rsidRPr="00B053FF">
        <w:rPr>
          <w:rFonts w:ascii="Times New Roman" w:hAnsi="Times New Roman"/>
          <w:szCs w:val="24"/>
        </w:rPr>
        <w:t xml:space="preserve">I </w:t>
      </w:r>
      <w:r w:rsidR="002E473C">
        <w:rPr>
          <w:rFonts w:ascii="Times New Roman" w:hAnsi="Times New Roman"/>
          <w:szCs w:val="24"/>
        </w:rPr>
        <w:t xml:space="preserve">also </w:t>
      </w:r>
      <w:r w:rsidR="00EA69BC">
        <w:rPr>
          <w:rFonts w:ascii="Times New Roman" w:hAnsi="Times New Roman"/>
          <w:szCs w:val="24"/>
        </w:rPr>
        <w:t>illustrate</w:t>
      </w:r>
      <w:r w:rsidRPr="00B053FF">
        <w:rPr>
          <w:rFonts w:ascii="Times New Roman" w:hAnsi="Times New Roman"/>
          <w:szCs w:val="24"/>
        </w:rPr>
        <w:t xml:space="preserve"> how well-entrenched norms and practices within trial-level federal</w:t>
      </w:r>
      <w:r w:rsidR="00E44FD7">
        <w:rPr>
          <w:rFonts w:ascii="Times New Roman" w:hAnsi="Times New Roman"/>
          <w:szCs w:val="24"/>
        </w:rPr>
        <w:t xml:space="preserve"> court communities</w:t>
      </w:r>
      <w:r w:rsidRPr="00B053FF">
        <w:rPr>
          <w:rFonts w:ascii="Times New Roman" w:hAnsi="Times New Roman"/>
          <w:szCs w:val="24"/>
        </w:rPr>
        <w:t xml:space="preserve">—as situated in large, complex institutions—present a formidable barrier to efforts aimed at reducing the racially unequal, punitive reach of this system. Local federal justice system actors, and the organizational units in which they work, are deeply invested in maintaining their legitimacy, stature, and role in the justice system, so they operationally adapt to changing policies in order to stave off </w:t>
      </w:r>
      <w:r w:rsidR="004F607C">
        <w:rPr>
          <w:rFonts w:ascii="Times New Roman" w:hAnsi="Times New Roman"/>
          <w:szCs w:val="24"/>
        </w:rPr>
        <w:t>any threats to their size and power</w:t>
      </w:r>
      <w:r w:rsidRPr="00B053FF">
        <w:rPr>
          <w:rFonts w:ascii="Times New Roman" w:hAnsi="Times New Roman"/>
          <w:szCs w:val="24"/>
        </w:rPr>
        <w:t xml:space="preserve">. They do so, though, in </w:t>
      </w:r>
      <w:r w:rsidR="00A73A4F" w:rsidRPr="00B053FF">
        <w:rPr>
          <w:rFonts w:ascii="Times New Roman" w:hAnsi="Times New Roman"/>
          <w:szCs w:val="24"/>
        </w:rPr>
        <w:t>a manner</w:t>
      </w:r>
      <w:r w:rsidRPr="00B053FF">
        <w:rPr>
          <w:rFonts w:ascii="Times New Roman" w:hAnsi="Times New Roman"/>
          <w:szCs w:val="24"/>
        </w:rPr>
        <w:t xml:space="preserve"> that </w:t>
      </w:r>
      <w:r w:rsidR="00A73A4F" w:rsidRPr="00B053FF">
        <w:rPr>
          <w:rFonts w:ascii="Times New Roman" w:hAnsi="Times New Roman"/>
          <w:szCs w:val="24"/>
        </w:rPr>
        <w:t>corresponds</w:t>
      </w:r>
      <w:r w:rsidRPr="00B053FF">
        <w:rPr>
          <w:rFonts w:ascii="Times New Roman" w:hAnsi="Times New Roman"/>
          <w:szCs w:val="24"/>
        </w:rPr>
        <w:t xml:space="preserve"> to local norms and logics, </w:t>
      </w:r>
      <w:r w:rsidR="002271C4" w:rsidRPr="00B053FF">
        <w:rPr>
          <w:rFonts w:ascii="Times New Roman" w:hAnsi="Times New Roman"/>
          <w:szCs w:val="24"/>
        </w:rPr>
        <w:t>therefore</w:t>
      </w:r>
      <w:r w:rsidRPr="00B053FF">
        <w:rPr>
          <w:rFonts w:ascii="Times New Roman" w:hAnsi="Times New Roman"/>
          <w:szCs w:val="24"/>
        </w:rPr>
        <w:t xml:space="preserve"> maintenance techniques take shape in particularized ways that diverge across districts.</w:t>
      </w:r>
      <w:r w:rsidR="00087CFA" w:rsidRPr="00B053FF">
        <w:rPr>
          <w:rFonts w:ascii="Times New Roman" w:hAnsi="Times New Roman"/>
          <w:szCs w:val="24"/>
        </w:rPr>
        <w:t xml:space="preserve"> As such, policy interventions that aim to roll back the force of these laws will need to account for the heterogeneous forms of resistance that </w:t>
      </w:r>
      <w:r w:rsidR="00123C0C">
        <w:rPr>
          <w:rFonts w:ascii="Times New Roman" w:hAnsi="Times New Roman"/>
          <w:szCs w:val="24"/>
        </w:rPr>
        <w:t>are already emerging</w:t>
      </w:r>
      <w:r w:rsidR="00087CFA" w:rsidRPr="00B053FF">
        <w:rPr>
          <w:rFonts w:ascii="Times New Roman" w:hAnsi="Times New Roman"/>
          <w:szCs w:val="24"/>
        </w:rPr>
        <w:t xml:space="preserve"> from front-line institutional actors.</w:t>
      </w:r>
      <w:r w:rsidR="005303EF">
        <w:rPr>
          <w:rStyle w:val="FootnoteReference"/>
          <w:rFonts w:ascii="Times New Roman" w:hAnsi="Times New Roman"/>
          <w:szCs w:val="24"/>
        </w:rPr>
        <w:footnoteReference w:id="5"/>
      </w:r>
    </w:p>
    <w:p w14:paraId="1520F3A5" w14:textId="6DF2BDC7" w:rsidR="002D6457" w:rsidRPr="00B053FF" w:rsidRDefault="002D6457" w:rsidP="002D6457">
      <w:pPr>
        <w:spacing w:line="480" w:lineRule="auto"/>
        <w:ind w:firstLine="720"/>
        <w:rPr>
          <w:rFonts w:ascii="Times New Roman" w:hAnsi="Times New Roman"/>
          <w:szCs w:val="24"/>
        </w:rPr>
      </w:pPr>
      <w:r w:rsidRPr="00B053FF">
        <w:rPr>
          <w:rFonts w:ascii="Times New Roman" w:hAnsi="Times New Roman"/>
          <w:szCs w:val="24"/>
        </w:rPr>
        <w:lastRenderedPageBreak/>
        <w:t xml:space="preserve">My primary entry into this field is through the defense attorneys who represent those charged with federal drug crimes, and who strive to blunt the force of that punitive power on their clients’ behalf. Through unprecedented behind-the-scenes access to federal public defenders’ offices in four geographically distinct district courts, I analyze the interplay between localized norms and imperatives in how drug laws are implemented, and the larger legal structure in which local courts are situated. In doing so, I reveal how “hammer” of federal drug laws gets made local in ways that often take different forms, but that nonetheless overwhelm the ability of defendants to exercise their procedural rights and that all too often end in unjustifiably long sentences. </w:t>
      </w:r>
    </w:p>
    <w:p w14:paraId="5E5E6DBD" w14:textId="10EE2CDB" w:rsidR="00A73A4F" w:rsidRPr="00B053FF" w:rsidRDefault="005D07F1" w:rsidP="00A73A4F">
      <w:pPr>
        <w:spacing w:line="480" w:lineRule="auto"/>
        <w:rPr>
          <w:rFonts w:ascii="Times New Roman" w:hAnsi="Times New Roman"/>
          <w:szCs w:val="24"/>
        </w:rPr>
      </w:pPr>
      <w:r w:rsidRPr="00B053FF">
        <w:rPr>
          <w:rFonts w:ascii="Times New Roman" w:hAnsi="Times New Roman"/>
          <w:szCs w:val="24"/>
        </w:rPr>
        <w:tab/>
        <w:t xml:space="preserve">More fundamentally, </w:t>
      </w:r>
      <w:r w:rsidR="00B97024" w:rsidRPr="00B053FF">
        <w:rPr>
          <w:rFonts w:ascii="Times New Roman" w:hAnsi="Times New Roman"/>
          <w:szCs w:val="24"/>
        </w:rPr>
        <w:t xml:space="preserve">this book aims to provide new insights into institutional life, by scaling down the analytic focus, bringing </w:t>
      </w:r>
      <w:r w:rsidR="00320AAB">
        <w:rPr>
          <w:rFonts w:ascii="Times New Roman" w:hAnsi="Times New Roman"/>
          <w:szCs w:val="24"/>
        </w:rPr>
        <w:t>insights</w:t>
      </w:r>
      <w:r w:rsidR="00B97024" w:rsidRPr="00B053FF">
        <w:rPr>
          <w:rFonts w:ascii="Times New Roman" w:hAnsi="Times New Roman"/>
          <w:szCs w:val="24"/>
        </w:rPr>
        <w:t xml:space="preserve"> from social psychology and micro-sociology to </w:t>
      </w:r>
      <w:r w:rsidR="002271C4" w:rsidRPr="00B053FF">
        <w:rPr>
          <w:rFonts w:ascii="Times New Roman" w:hAnsi="Times New Roman"/>
          <w:szCs w:val="24"/>
        </w:rPr>
        <w:t xml:space="preserve">the question of </w:t>
      </w:r>
      <w:r w:rsidR="00B97024" w:rsidRPr="00B053FF">
        <w:rPr>
          <w:rFonts w:ascii="Times New Roman" w:hAnsi="Times New Roman"/>
          <w:szCs w:val="24"/>
        </w:rPr>
        <w:t xml:space="preserve">how and why </w:t>
      </w:r>
      <w:r w:rsidRPr="00B053FF">
        <w:rPr>
          <w:rFonts w:ascii="Times New Roman" w:hAnsi="Times New Roman"/>
          <w:szCs w:val="24"/>
        </w:rPr>
        <w:t xml:space="preserve">social institutions—like </w:t>
      </w:r>
      <w:r w:rsidR="00A73A4F" w:rsidRPr="00B053FF">
        <w:rPr>
          <w:rFonts w:ascii="Times New Roman" w:hAnsi="Times New Roman"/>
          <w:szCs w:val="24"/>
        </w:rPr>
        <w:t xml:space="preserve">trial-level </w:t>
      </w:r>
      <w:r w:rsidRPr="00B053FF">
        <w:rPr>
          <w:rFonts w:ascii="Times New Roman" w:hAnsi="Times New Roman"/>
          <w:szCs w:val="24"/>
        </w:rPr>
        <w:t>courts and the interconnected offices and agencies that comprise them—</w:t>
      </w:r>
      <w:r w:rsidR="00B97024" w:rsidRPr="00B053FF">
        <w:rPr>
          <w:rFonts w:ascii="Times New Roman" w:hAnsi="Times New Roman"/>
          <w:szCs w:val="24"/>
        </w:rPr>
        <w:t xml:space="preserve"> behave as they do. I begin with the notion that those </w:t>
      </w:r>
      <w:r w:rsidR="00454EA8" w:rsidRPr="00B053FF">
        <w:rPr>
          <w:rFonts w:ascii="Times New Roman" w:hAnsi="Times New Roman"/>
          <w:szCs w:val="24"/>
        </w:rPr>
        <w:t xml:space="preserve">interconnected webs of </w:t>
      </w:r>
      <w:r w:rsidR="00B97024" w:rsidRPr="00B053FF">
        <w:rPr>
          <w:rFonts w:ascii="Times New Roman" w:hAnsi="Times New Roman"/>
          <w:szCs w:val="24"/>
        </w:rPr>
        <w:t xml:space="preserve">structures </w:t>
      </w:r>
      <w:r w:rsidR="00454EA8" w:rsidRPr="00B053FF">
        <w:rPr>
          <w:rFonts w:ascii="Times New Roman" w:hAnsi="Times New Roman"/>
          <w:szCs w:val="24"/>
        </w:rPr>
        <w:t xml:space="preserve">that </w:t>
      </w:r>
      <w:r w:rsidR="008A79AC">
        <w:rPr>
          <w:rFonts w:ascii="Times New Roman" w:hAnsi="Times New Roman"/>
          <w:szCs w:val="24"/>
        </w:rPr>
        <w:t>comprise</w:t>
      </w:r>
      <w:r w:rsidR="002271C4" w:rsidRPr="00B053FF">
        <w:rPr>
          <w:rFonts w:ascii="Times New Roman" w:hAnsi="Times New Roman"/>
          <w:szCs w:val="24"/>
        </w:rPr>
        <w:t xml:space="preserve"> institutions</w:t>
      </w:r>
      <w:r w:rsidR="00454EA8" w:rsidRPr="00B053FF">
        <w:rPr>
          <w:rFonts w:ascii="Times New Roman" w:hAnsi="Times New Roman"/>
          <w:szCs w:val="24"/>
        </w:rPr>
        <w:t xml:space="preserve"> are also </w:t>
      </w:r>
      <w:r w:rsidRPr="00B053FF">
        <w:rPr>
          <w:rFonts w:ascii="Times New Roman" w:hAnsi="Times New Roman"/>
          <w:szCs w:val="24"/>
        </w:rPr>
        <w:t xml:space="preserve">living spaces, inhabited by </w:t>
      </w:r>
      <w:r w:rsidR="00633C45" w:rsidRPr="00B053FF">
        <w:rPr>
          <w:rFonts w:ascii="Times New Roman" w:hAnsi="Times New Roman"/>
          <w:szCs w:val="24"/>
        </w:rPr>
        <w:t xml:space="preserve">people whose livelihoods, professional identities, and in many cases ideological and moral commitments are tied to those </w:t>
      </w:r>
      <w:r w:rsidR="00454EA8" w:rsidRPr="00B053FF">
        <w:rPr>
          <w:rFonts w:ascii="Times New Roman" w:hAnsi="Times New Roman"/>
          <w:szCs w:val="24"/>
        </w:rPr>
        <w:t>structures</w:t>
      </w:r>
      <w:r w:rsidR="00526D46">
        <w:rPr>
          <w:rFonts w:ascii="Times New Roman" w:hAnsi="Times New Roman"/>
          <w:szCs w:val="24"/>
        </w:rPr>
        <w:t>. At a practical level, these actors</w:t>
      </w:r>
      <w:r w:rsidR="00633C45" w:rsidRPr="00B053FF">
        <w:rPr>
          <w:rFonts w:ascii="Times New Roman" w:hAnsi="Times New Roman"/>
          <w:szCs w:val="24"/>
        </w:rPr>
        <w:t xml:space="preserve"> are motivated to mai</w:t>
      </w:r>
      <w:r w:rsidR="002271C4" w:rsidRPr="00B053FF">
        <w:rPr>
          <w:rFonts w:ascii="Times New Roman" w:hAnsi="Times New Roman"/>
          <w:szCs w:val="24"/>
        </w:rPr>
        <w:t xml:space="preserve">ntain, if not enhance, the size and </w:t>
      </w:r>
      <w:r w:rsidR="00633C45" w:rsidRPr="00B053FF">
        <w:rPr>
          <w:rFonts w:ascii="Times New Roman" w:hAnsi="Times New Roman"/>
          <w:szCs w:val="24"/>
        </w:rPr>
        <w:t xml:space="preserve">stature of </w:t>
      </w:r>
      <w:r w:rsidR="004F7369" w:rsidRPr="00B053FF">
        <w:rPr>
          <w:rFonts w:ascii="Times New Roman" w:hAnsi="Times New Roman"/>
          <w:szCs w:val="24"/>
        </w:rPr>
        <w:t>those institutions, especially when outside forces threaten diminution. Moreover, institutions take root over time such that</w:t>
      </w:r>
      <w:r w:rsidR="00633C45" w:rsidRPr="00B053FF">
        <w:rPr>
          <w:rFonts w:ascii="Times New Roman" w:hAnsi="Times New Roman"/>
          <w:szCs w:val="24"/>
        </w:rPr>
        <w:t xml:space="preserve"> the forms </w:t>
      </w:r>
      <w:r w:rsidR="004F7369" w:rsidRPr="00B053FF">
        <w:rPr>
          <w:rFonts w:ascii="Times New Roman" w:hAnsi="Times New Roman"/>
          <w:szCs w:val="24"/>
        </w:rPr>
        <w:t xml:space="preserve">they become naturalized and accepted as necessary to social life, so reform efforts may be able to penetrate the edges and tinker with how things are done, while leaving the institutional core intact. </w:t>
      </w:r>
      <w:r w:rsidR="00087CFA" w:rsidRPr="00B053FF">
        <w:rPr>
          <w:rFonts w:ascii="Times New Roman" w:hAnsi="Times New Roman"/>
          <w:szCs w:val="24"/>
        </w:rPr>
        <w:t xml:space="preserve">In short, institutional inertia—produced by all of these forces—ensures that building up punitive structures is much easier than tearing them down. </w:t>
      </w:r>
    </w:p>
    <w:p w14:paraId="1D8BC903" w14:textId="5B8623B9" w:rsidR="006D0698" w:rsidRDefault="004F7369" w:rsidP="006D0698">
      <w:pPr>
        <w:spacing w:line="480" w:lineRule="auto"/>
        <w:ind w:firstLine="720"/>
        <w:rPr>
          <w:rFonts w:ascii="Times New Roman" w:hAnsi="Times New Roman"/>
          <w:szCs w:val="24"/>
        </w:rPr>
      </w:pPr>
      <w:r w:rsidRPr="00B053FF">
        <w:rPr>
          <w:rFonts w:ascii="Times New Roman" w:hAnsi="Times New Roman"/>
          <w:szCs w:val="24"/>
        </w:rPr>
        <w:t xml:space="preserve">The logic underpinning American criminal justice is a case in point. The </w:t>
      </w:r>
      <w:r w:rsidR="0088397A">
        <w:rPr>
          <w:rFonts w:ascii="Times New Roman" w:hAnsi="Times New Roman"/>
          <w:szCs w:val="24"/>
        </w:rPr>
        <w:t xml:space="preserve">recent </w:t>
      </w:r>
      <w:r w:rsidR="00BD6F87" w:rsidRPr="00B053FF">
        <w:rPr>
          <w:rFonts w:ascii="Times New Roman" w:hAnsi="Times New Roman"/>
          <w:szCs w:val="24"/>
        </w:rPr>
        <w:t>explosion in</w:t>
      </w:r>
      <w:r w:rsidRPr="00B053FF">
        <w:rPr>
          <w:rFonts w:ascii="Times New Roman" w:hAnsi="Times New Roman"/>
          <w:szCs w:val="24"/>
        </w:rPr>
        <w:t xml:space="preserve"> </w:t>
      </w:r>
      <w:r w:rsidR="00BD6F87" w:rsidRPr="00B053FF">
        <w:rPr>
          <w:rFonts w:ascii="Times New Roman" w:hAnsi="Times New Roman"/>
          <w:szCs w:val="24"/>
        </w:rPr>
        <w:t xml:space="preserve">calls for </w:t>
      </w:r>
      <w:r w:rsidR="003A5790" w:rsidRPr="00B053FF">
        <w:rPr>
          <w:rFonts w:ascii="Times New Roman" w:hAnsi="Times New Roman"/>
          <w:szCs w:val="24"/>
        </w:rPr>
        <w:t xml:space="preserve">sentencing and punishment </w:t>
      </w:r>
      <w:r w:rsidR="00BD6F87" w:rsidRPr="00B053FF">
        <w:rPr>
          <w:rFonts w:ascii="Times New Roman" w:hAnsi="Times New Roman"/>
          <w:szCs w:val="24"/>
        </w:rPr>
        <w:t>reform</w:t>
      </w:r>
      <w:r w:rsidR="003A5790" w:rsidRPr="00B053FF">
        <w:rPr>
          <w:rFonts w:ascii="Times New Roman" w:hAnsi="Times New Roman"/>
          <w:szCs w:val="24"/>
        </w:rPr>
        <w:t>s</w:t>
      </w:r>
      <w:r w:rsidR="00861A4B" w:rsidRPr="00B053FF">
        <w:rPr>
          <w:rFonts w:ascii="Times New Roman" w:hAnsi="Times New Roman"/>
          <w:szCs w:val="24"/>
        </w:rPr>
        <w:t xml:space="preserve"> in the U.S.</w:t>
      </w:r>
      <w:r w:rsidR="00BD6F87" w:rsidRPr="00B053FF">
        <w:rPr>
          <w:rFonts w:ascii="Times New Roman" w:hAnsi="Times New Roman"/>
          <w:szCs w:val="24"/>
        </w:rPr>
        <w:t xml:space="preserve">, from the conservative “Right on </w:t>
      </w:r>
      <w:r w:rsidR="00BD6F87" w:rsidRPr="00B053FF">
        <w:rPr>
          <w:rFonts w:ascii="Times New Roman" w:hAnsi="Times New Roman"/>
          <w:szCs w:val="24"/>
        </w:rPr>
        <w:lastRenderedPageBreak/>
        <w:t>Crime” movement</w:t>
      </w:r>
      <w:r w:rsidR="004845D2">
        <w:rPr>
          <w:rFonts w:ascii="Times New Roman" w:hAnsi="Times New Roman"/>
          <w:szCs w:val="24"/>
        </w:rPr>
        <w:t>, which argues for “cost-effective</w:t>
      </w:r>
      <w:r w:rsidR="006D0698">
        <w:rPr>
          <w:rFonts w:ascii="Times New Roman" w:hAnsi="Times New Roman"/>
          <w:szCs w:val="24"/>
        </w:rPr>
        <w:t>,</w:t>
      </w:r>
      <w:r w:rsidR="004845D2">
        <w:rPr>
          <w:rFonts w:ascii="Times New Roman" w:hAnsi="Times New Roman"/>
          <w:szCs w:val="24"/>
        </w:rPr>
        <w:t>” evidence-based criminal justice</w:t>
      </w:r>
      <w:r w:rsidR="004845D2">
        <w:rPr>
          <w:rStyle w:val="FootnoteReference"/>
          <w:rFonts w:ascii="Times New Roman" w:hAnsi="Times New Roman"/>
          <w:szCs w:val="24"/>
        </w:rPr>
        <w:footnoteReference w:id="6"/>
      </w:r>
      <w:r w:rsidR="004845D2">
        <w:rPr>
          <w:rFonts w:ascii="Times New Roman" w:hAnsi="Times New Roman"/>
          <w:szCs w:val="24"/>
        </w:rPr>
        <w:t xml:space="preserve"> based on conservative</w:t>
      </w:r>
      <w:r w:rsidR="0088397A">
        <w:rPr>
          <w:rFonts w:ascii="Times New Roman" w:hAnsi="Times New Roman"/>
          <w:szCs w:val="24"/>
        </w:rPr>
        <w:t xml:space="preserve"> and/or libertarian</w:t>
      </w:r>
      <w:r w:rsidR="004845D2">
        <w:rPr>
          <w:rFonts w:ascii="Times New Roman" w:hAnsi="Times New Roman"/>
          <w:szCs w:val="24"/>
        </w:rPr>
        <w:t xml:space="preserve"> political principles, </w:t>
      </w:r>
      <w:r w:rsidR="00BD6F87" w:rsidRPr="00B053FF">
        <w:rPr>
          <w:rFonts w:ascii="Times New Roman" w:hAnsi="Times New Roman"/>
          <w:szCs w:val="24"/>
        </w:rPr>
        <w:t xml:space="preserve">to the more </w:t>
      </w:r>
      <w:r w:rsidR="004845D2">
        <w:rPr>
          <w:rFonts w:ascii="Times New Roman" w:hAnsi="Times New Roman"/>
          <w:szCs w:val="24"/>
        </w:rPr>
        <w:t>politically expansive</w:t>
      </w:r>
      <w:r w:rsidR="00BD6F87" w:rsidRPr="00B053FF">
        <w:rPr>
          <w:rFonts w:ascii="Times New Roman" w:hAnsi="Times New Roman"/>
          <w:szCs w:val="24"/>
        </w:rPr>
        <w:t xml:space="preserve"> “Smart on Crime” efforts</w:t>
      </w:r>
      <w:r w:rsidR="003A5790" w:rsidRPr="00B053FF">
        <w:rPr>
          <w:rFonts w:ascii="Times New Roman" w:hAnsi="Times New Roman"/>
          <w:szCs w:val="24"/>
        </w:rPr>
        <w:t>,</w:t>
      </w:r>
      <w:r w:rsidR="00BD6F87" w:rsidRPr="00B053FF">
        <w:rPr>
          <w:rFonts w:ascii="Times New Roman" w:hAnsi="Times New Roman"/>
          <w:szCs w:val="24"/>
        </w:rPr>
        <w:t xml:space="preserve"> </w:t>
      </w:r>
      <w:r w:rsidR="004845D2">
        <w:rPr>
          <w:rFonts w:ascii="Times New Roman" w:hAnsi="Times New Roman"/>
          <w:szCs w:val="24"/>
        </w:rPr>
        <w:t xml:space="preserve">which blend cost-effectiveness </w:t>
      </w:r>
      <w:r w:rsidR="006D0698">
        <w:rPr>
          <w:rFonts w:ascii="Times New Roman" w:hAnsi="Times New Roman"/>
          <w:szCs w:val="24"/>
        </w:rPr>
        <w:t xml:space="preserve">and “evidence-based” </w:t>
      </w:r>
      <w:r w:rsidR="004845D2">
        <w:rPr>
          <w:rFonts w:ascii="Times New Roman" w:hAnsi="Times New Roman"/>
          <w:szCs w:val="24"/>
        </w:rPr>
        <w:t xml:space="preserve">messages </w:t>
      </w:r>
      <w:r w:rsidR="006D0698">
        <w:rPr>
          <w:rFonts w:ascii="Times New Roman" w:hAnsi="Times New Roman"/>
          <w:szCs w:val="24"/>
        </w:rPr>
        <w:t>with broader justice and fairness concerns,</w:t>
      </w:r>
      <w:r w:rsidR="00526D46">
        <w:rPr>
          <w:rStyle w:val="FootnoteReference"/>
          <w:rFonts w:ascii="Times New Roman" w:hAnsi="Times New Roman"/>
          <w:szCs w:val="24"/>
        </w:rPr>
        <w:footnoteReference w:id="7"/>
      </w:r>
      <w:r w:rsidR="006D0698">
        <w:rPr>
          <w:rFonts w:ascii="Times New Roman" w:hAnsi="Times New Roman"/>
          <w:szCs w:val="24"/>
        </w:rPr>
        <w:t xml:space="preserve"> tend to</w:t>
      </w:r>
      <w:r w:rsidR="004845D2">
        <w:rPr>
          <w:rFonts w:ascii="Times New Roman" w:hAnsi="Times New Roman"/>
          <w:szCs w:val="24"/>
        </w:rPr>
        <w:t xml:space="preserve"> seek in</w:t>
      </w:r>
      <w:r w:rsidR="006D0698">
        <w:rPr>
          <w:rFonts w:ascii="Times New Roman" w:hAnsi="Times New Roman"/>
          <w:szCs w:val="24"/>
        </w:rPr>
        <w:t>terventional tweaks rather than wholesale restructuring. Among the</w:t>
      </w:r>
      <w:r w:rsidR="004845D2">
        <w:rPr>
          <w:rFonts w:ascii="Times New Roman" w:hAnsi="Times New Roman"/>
          <w:szCs w:val="24"/>
        </w:rPr>
        <w:t xml:space="preserve"> </w:t>
      </w:r>
      <w:r w:rsidR="006D0698">
        <w:rPr>
          <w:rFonts w:ascii="Times New Roman" w:hAnsi="Times New Roman"/>
          <w:szCs w:val="24"/>
        </w:rPr>
        <w:t xml:space="preserve">stated aims across this new reform era </w:t>
      </w:r>
      <w:r w:rsidR="004845D2">
        <w:rPr>
          <w:rFonts w:ascii="Times New Roman" w:hAnsi="Times New Roman"/>
          <w:szCs w:val="24"/>
        </w:rPr>
        <w:t>are</w:t>
      </w:r>
      <w:r w:rsidR="00BD6F87" w:rsidRPr="00B053FF">
        <w:rPr>
          <w:rFonts w:ascii="Times New Roman" w:hAnsi="Times New Roman"/>
          <w:szCs w:val="24"/>
        </w:rPr>
        <w:t xml:space="preserve"> more parsimonious use of prisons, where th</w:t>
      </w:r>
      <w:r w:rsidR="00A73A4F" w:rsidRPr="00B053FF">
        <w:rPr>
          <w:rFonts w:ascii="Times New Roman" w:hAnsi="Times New Roman"/>
          <w:szCs w:val="24"/>
        </w:rPr>
        <w:t>at</w:t>
      </w:r>
      <w:r w:rsidR="00BD6F87" w:rsidRPr="00B053FF">
        <w:rPr>
          <w:rFonts w:ascii="Times New Roman" w:hAnsi="Times New Roman"/>
          <w:szCs w:val="24"/>
        </w:rPr>
        <w:t xml:space="preserve"> sanction is reserved for riskier offenders; shorter sentence lengths; more “good time” credits; increased use of home detention or local jails</w:t>
      </w:r>
      <w:r w:rsidR="006D0698">
        <w:rPr>
          <w:rFonts w:ascii="Times New Roman" w:hAnsi="Times New Roman"/>
          <w:szCs w:val="24"/>
        </w:rPr>
        <w:t>; and, sometimes, improved procedure</w:t>
      </w:r>
      <w:r w:rsidR="00BD6F87" w:rsidRPr="00B053FF">
        <w:rPr>
          <w:rFonts w:ascii="Times New Roman" w:hAnsi="Times New Roman"/>
          <w:szCs w:val="24"/>
        </w:rPr>
        <w:t>. No reform that has gained traction</w:t>
      </w:r>
      <w:r w:rsidR="00A04CA2" w:rsidRPr="00B053FF">
        <w:rPr>
          <w:rFonts w:ascii="Times New Roman" w:hAnsi="Times New Roman"/>
          <w:szCs w:val="24"/>
        </w:rPr>
        <w:t xml:space="preserve"> in the wake of mass incarceration</w:t>
      </w:r>
      <w:r w:rsidR="00BD6F87" w:rsidRPr="00B053FF">
        <w:rPr>
          <w:rFonts w:ascii="Times New Roman" w:hAnsi="Times New Roman"/>
          <w:szCs w:val="24"/>
        </w:rPr>
        <w:t xml:space="preserve"> questions the underlying logic of the system, leaving the current </w:t>
      </w:r>
      <w:r w:rsidR="00A04CA2" w:rsidRPr="00B053FF">
        <w:rPr>
          <w:rFonts w:ascii="Times New Roman" w:hAnsi="Times New Roman"/>
          <w:szCs w:val="24"/>
        </w:rPr>
        <w:t xml:space="preserve">modes of </w:t>
      </w:r>
      <w:r w:rsidR="00BD6F87" w:rsidRPr="00B053FF">
        <w:rPr>
          <w:rFonts w:ascii="Times New Roman" w:hAnsi="Times New Roman"/>
          <w:szCs w:val="24"/>
        </w:rPr>
        <w:t>dealing with the social problem of crime intact</w:t>
      </w:r>
      <w:r w:rsidR="00A04CA2" w:rsidRPr="00B053FF">
        <w:rPr>
          <w:rFonts w:ascii="Times New Roman" w:hAnsi="Times New Roman"/>
          <w:szCs w:val="24"/>
        </w:rPr>
        <w:t>, subject only to improvement by instituting more effective</w:t>
      </w:r>
      <w:r w:rsidR="006D0698">
        <w:rPr>
          <w:rFonts w:ascii="Times New Roman" w:hAnsi="Times New Roman"/>
          <w:szCs w:val="24"/>
        </w:rPr>
        <w:t xml:space="preserve"> evidence-based</w:t>
      </w:r>
      <w:r w:rsidR="00A04CA2" w:rsidRPr="00B053FF">
        <w:rPr>
          <w:rFonts w:ascii="Times New Roman" w:hAnsi="Times New Roman"/>
          <w:szCs w:val="24"/>
        </w:rPr>
        <w:t xml:space="preserve"> practices</w:t>
      </w:r>
      <w:r w:rsidR="006D0698">
        <w:rPr>
          <w:rFonts w:ascii="Times New Roman" w:hAnsi="Times New Roman"/>
          <w:szCs w:val="24"/>
        </w:rPr>
        <w:t>.</w:t>
      </w:r>
      <w:r w:rsidR="006D0698">
        <w:rPr>
          <w:rStyle w:val="FootnoteReference"/>
          <w:rFonts w:ascii="Times New Roman" w:hAnsi="Times New Roman"/>
          <w:szCs w:val="24"/>
        </w:rPr>
        <w:footnoteReference w:id="8"/>
      </w:r>
      <w:r w:rsidR="006D0698">
        <w:rPr>
          <w:rFonts w:ascii="Times New Roman" w:hAnsi="Times New Roman"/>
          <w:szCs w:val="24"/>
        </w:rPr>
        <w:t xml:space="preserve"> </w:t>
      </w:r>
    </w:p>
    <w:p w14:paraId="0680EB16" w14:textId="4C39228E" w:rsidR="00454EA8" w:rsidRPr="00B053FF" w:rsidRDefault="006D0698" w:rsidP="006D0698">
      <w:pPr>
        <w:spacing w:line="480" w:lineRule="auto"/>
        <w:ind w:firstLine="720"/>
        <w:rPr>
          <w:rFonts w:ascii="Times New Roman" w:hAnsi="Times New Roman"/>
          <w:szCs w:val="24"/>
        </w:rPr>
      </w:pPr>
      <w:r>
        <w:rPr>
          <w:rFonts w:ascii="Times New Roman" w:hAnsi="Times New Roman"/>
          <w:szCs w:val="24"/>
        </w:rPr>
        <w:t xml:space="preserve">By looking closely at the day-to-day practices of one major player in the nation’s </w:t>
      </w:r>
      <w:r w:rsidR="002E462B">
        <w:rPr>
          <w:rFonts w:ascii="Times New Roman" w:hAnsi="Times New Roman"/>
          <w:szCs w:val="24"/>
        </w:rPr>
        <w:t>criminal system—the federal jurisdiction—t</w:t>
      </w:r>
      <w:r>
        <w:rPr>
          <w:rFonts w:ascii="Times New Roman" w:hAnsi="Times New Roman"/>
          <w:szCs w:val="24"/>
        </w:rPr>
        <w:t>h</w:t>
      </w:r>
      <w:r w:rsidR="002271C4" w:rsidRPr="00B053FF">
        <w:rPr>
          <w:rFonts w:ascii="Times New Roman" w:hAnsi="Times New Roman"/>
          <w:szCs w:val="24"/>
        </w:rPr>
        <w:t xml:space="preserve">is book </w:t>
      </w:r>
      <w:r w:rsidR="002E462B">
        <w:rPr>
          <w:rFonts w:ascii="Times New Roman" w:hAnsi="Times New Roman"/>
          <w:szCs w:val="24"/>
        </w:rPr>
        <w:t xml:space="preserve">addresses three questions central to any efforts </w:t>
      </w:r>
      <w:r w:rsidR="00B05D97">
        <w:rPr>
          <w:rFonts w:ascii="Times New Roman" w:hAnsi="Times New Roman"/>
          <w:szCs w:val="24"/>
        </w:rPr>
        <w:t>aimed at achieving</w:t>
      </w:r>
      <w:r w:rsidR="002E462B">
        <w:rPr>
          <w:rFonts w:ascii="Times New Roman" w:hAnsi="Times New Roman"/>
          <w:szCs w:val="24"/>
        </w:rPr>
        <w:t xml:space="preserve"> an equitable and fair system of justice: 1) Why do criminal justice policies diverge so dramatically from their stated goals when put into practice?; 2) Why are racial and other inequities so endemic to American criminal justice, especially in the regulation of illicit drugs?; and</w:t>
      </w:r>
      <w:r w:rsidR="000D1A4D" w:rsidRPr="00B053FF">
        <w:rPr>
          <w:rFonts w:ascii="Times New Roman" w:hAnsi="Times New Roman"/>
          <w:szCs w:val="24"/>
        </w:rPr>
        <w:t xml:space="preserve"> </w:t>
      </w:r>
      <w:r w:rsidR="002E462B">
        <w:rPr>
          <w:rFonts w:ascii="Times New Roman" w:hAnsi="Times New Roman"/>
          <w:szCs w:val="24"/>
        </w:rPr>
        <w:t xml:space="preserve">3) </w:t>
      </w:r>
      <w:r w:rsidR="0088397A">
        <w:rPr>
          <w:rFonts w:ascii="Times New Roman" w:hAnsi="Times New Roman"/>
          <w:szCs w:val="24"/>
        </w:rPr>
        <w:t>What needs to be done to dramatically change the nature of the system</w:t>
      </w:r>
      <w:r w:rsidR="002E462B">
        <w:rPr>
          <w:rFonts w:ascii="Times New Roman" w:hAnsi="Times New Roman"/>
          <w:szCs w:val="24"/>
        </w:rPr>
        <w:t>?</w:t>
      </w:r>
    </w:p>
    <w:p w14:paraId="1A957B95" w14:textId="3BB2A81A" w:rsidR="00DE58E5" w:rsidRPr="00B053FF" w:rsidRDefault="005D07F1" w:rsidP="002271C4">
      <w:pPr>
        <w:spacing w:line="480" w:lineRule="auto"/>
        <w:ind w:firstLine="720"/>
        <w:rPr>
          <w:rFonts w:ascii="Times New Roman" w:hAnsi="Times New Roman"/>
          <w:szCs w:val="24"/>
        </w:rPr>
      </w:pPr>
      <w:r w:rsidRPr="00B053FF">
        <w:rPr>
          <w:rFonts w:ascii="Times New Roman" w:hAnsi="Times New Roman"/>
          <w:szCs w:val="24"/>
        </w:rPr>
        <w:t xml:space="preserve">The federal criminal justice system might at first glance seem to be an inapt place to </w:t>
      </w:r>
      <w:r w:rsidR="002271C4" w:rsidRPr="00B053FF">
        <w:rPr>
          <w:rFonts w:ascii="Times New Roman" w:hAnsi="Times New Roman"/>
          <w:szCs w:val="24"/>
        </w:rPr>
        <w:t xml:space="preserve">do this work. </w:t>
      </w:r>
      <w:r w:rsidR="00487C4A" w:rsidRPr="00B053FF">
        <w:rPr>
          <w:rFonts w:ascii="Times New Roman" w:hAnsi="Times New Roman"/>
          <w:szCs w:val="24"/>
        </w:rPr>
        <w:t xml:space="preserve">According to the most recent available data, federal courts only account for about 6.5% </w:t>
      </w:r>
      <w:r w:rsidR="00487C4A" w:rsidRPr="00B053FF">
        <w:rPr>
          <w:rFonts w:ascii="Times New Roman" w:hAnsi="Times New Roman"/>
          <w:szCs w:val="24"/>
        </w:rPr>
        <w:lastRenderedPageBreak/>
        <w:t>of felony drug convictions in the nation.</w:t>
      </w:r>
      <w:r w:rsidR="00487C4A" w:rsidRPr="00B053FF">
        <w:rPr>
          <w:rStyle w:val="FootnoteReference"/>
          <w:rFonts w:ascii="Times New Roman" w:hAnsi="Times New Roman"/>
          <w:szCs w:val="24"/>
        </w:rPr>
        <w:footnoteReference w:id="9"/>
      </w:r>
      <w:r w:rsidR="00487C4A" w:rsidRPr="00B053FF">
        <w:rPr>
          <w:rFonts w:ascii="Times New Roman" w:hAnsi="Times New Roman"/>
          <w:szCs w:val="24"/>
        </w:rPr>
        <w:t xml:space="preserve"> In the majority of </w:t>
      </w:r>
      <w:r w:rsidR="009667C4" w:rsidRPr="00B053FF">
        <w:rPr>
          <w:rFonts w:ascii="Times New Roman" w:hAnsi="Times New Roman"/>
          <w:szCs w:val="24"/>
        </w:rPr>
        <w:t xml:space="preserve">drug </w:t>
      </w:r>
      <w:r w:rsidR="00487C4A" w:rsidRPr="00B053FF">
        <w:rPr>
          <w:rFonts w:ascii="Times New Roman" w:hAnsi="Times New Roman"/>
          <w:szCs w:val="24"/>
        </w:rPr>
        <w:t>cases</w:t>
      </w:r>
      <w:r w:rsidR="009667C4" w:rsidRPr="00B053FF">
        <w:rPr>
          <w:rFonts w:ascii="Times New Roman" w:hAnsi="Times New Roman"/>
          <w:szCs w:val="24"/>
        </w:rPr>
        <w:t xml:space="preserve"> brought to federal court</w:t>
      </w:r>
      <w:r w:rsidR="00487C4A" w:rsidRPr="00B053FF">
        <w:rPr>
          <w:rFonts w:ascii="Times New Roman" w:hAnsi="Times New Roman"/>
          <w:szCs w:val="24"/>
        </w:rPr>
        <w:t xml:space="preserve">, the federal government does not have primary crime-fighting responsibility to combat drug crimes—each of the states has ample criminal law </w:t>
      </w:r>
      <w:r w:rsidR="00C42480" w:rsidRPr="00B053FF">
        <w:rPr>
          <w:rFonts w:ascii="Times New Roman" w:hAnsi="Times New Roman"/>
          <w:szCs w:val="24"/>
        </w:rPr>
        <w:t xml:space="preserve">available to prosecute drug possession, manufacturing, and trafficking, and local </w:t>
      </w:r>
      <w:r w:rsidR="009667C4" w:rsidRPr="00B053FF">
        <w:rPr>
          <w:rFonts w:ascii="Times New Roman" w:hAnsi="Times New Roman"/>
          <w:szCs w:val="24"/>
        </w:rPr>
        <w:t xml:space="preserve">and state </w:t>
      </w:r>
      <w:r w:rsidR="00C42480" w:rsidRPr="00B053FF">
        <w:rPr>
          <w:rFonts w:ascii="Times New Roman" w:hAnsi="Times New Roman"/>
          <w:szCs w:val="24"/>
        </w:rPr>
        <w:t xml:space="preserve">agencies have proactively enforced those laws with considerable zeal. Yet, the federal version of the war on drugs is a critically important case for several reasons, methodological, theoretical, and normative. </w:t>
      </w:r>
    </w:p>
    <w:p w14:paraId="6554C880" w14:textId="4BF7389C" w:rsidR="007055BD" w:rsidRPr="00B053FF" w:rsidRDefault="00C42480" w:rsidP="002271C4">
      <w:pPr>
        <w:spacing w:line="480" w:lineRule="auto"/>
        <w:ind w:firstLine="720"/>
        <w:rPr>
          <w:rFonts w:ascii="Times New Roman" w:hAnsi="Times New Roman"/>
          <w:szCs w:val="24"/>
        </w:rPr>
      </w:pPr>
      <w:r w:rsidRPr="00B053FF">
        <w:rPr>
          <w:rFonts w:ascii="Times New Roman" w:hAnsi="Times New Roman"/>
          <w:szCs w:val="24"/>
        </w:rPr>
        <w:t>First the methodological: Thanks in part to the mandates of the Sentencing Reform Act, high quality and richly detailed data on federal criminal processing and sentence outcom</w:t>
      </w:r>
      <w:r w:rsidR="009105C1" w:rsidRPr="00B053FF">
        <w:rPr>
          <w:rFonts w:ascii="Times New Roman" w:hAnsi="Times New Roman"/>
          <w:szCs w:val="24"/>
        </w:rPr>
        <w:t>es are available to researchers,</w:t>
      </w:r>
      <w:r w:rsidRPr="00B053FF">
        <w:rPr>
          <w:rFonts w:ascii="Times New Roman" w:hAnsi="Times New Roman"/>
          <w:szCs w:val="24"/>
        </w:rPr>
        <w:t xml:space="preserve"> something that cannot be said for most state and local level criminal justice data. Thus, we know more about who enters federal courts, what charges are filed, what charges end in convictions, and what sanctions are imposed, across all of the federal districts</w:t>
      </w:r>
      <w:r w:rsidR="00644AAB">
        <w:rPr>
          <w:rFonts w:ascii="Times New Roman" w:hAnsi="Times New Roman"/>
          <w:szCs w:val="24"/>
        </w:rPr>
        <w:t xml:space="preserve"> than we d</w:t>
      </w:r>
      <w:r w:rsidR="00DE58E5" w:rsidRPr="00B053FF">
        <w:rPr>
          <w:rFonts w:ascii="Times New Roman" w:hAnsi="Times New Roman"/>
          <w:szCs w:val="24"/>
        </w:rPr>
        <w:t>o in</w:t>
      </w:r>
      <w:r w:rsidR="009105C1" w:rsidRPr="00B053FF">
        <w:rPr>
          <w:rFonts w:ascii="Times New Roman" w:hAnsi="Times New Roman"/>
          <w:szCs w:val="24"/>
        </w:rPr>
        <w:t xml:space="preserve"> pretty much any other </w:t>
      </w:r>
      <w:r w:rsidR="000D1A4D" w:rsidRPr="00B053FF">
        <w:rPr>
          <w:rFonts w:ascii="Times New Roman" w:hAnsi="Times New Roman"/>
          <w:szCs w:val="24"/>
        </w:rPr>
        <w:t xml:space="preserve">legal </w:t>
      </w:r>
      <w:r w:rsidR="009105C1" w:rsidRPr="00B053FF">
        <w:rPr>
          <w:rFonts w:ascii="Times New Roman" w:hAnsi="Times New Roman"/>
          <w:szCs w:val="24"/>
        </w:rPr>
        <w:t xml:space="preserve">jurisdiction in the country. Furthermore, that its drug caseload is so discretionary means that we can make stronger inferences about the </w:t>
      </w:r>
      <w:r w:rsidR="00DE58E5" w:rsidRPr="00B053FF">
        <w:rPr>
          <w:rFonts w:ascii="Times New Roman" w:hAnsi="Times New Roman"/>
          <w:szCs w:val="24"/>
        </w:rPr>
        <w:t xml:space="preserve">decision-making that goes on to construct those caseloads, especially as they vary from district to district. The balance of criminal case types in a given district, the way charges are filed, and the particular mechanisms used in the adjudication process all reveal the policy choices and practical norms of local actors. </w:t>
      </w:r>
    </w:p>
    <w:p w14:paraId="10D657E5" w14:textId="2E723BE7" w:rsidR="00B859D7" w:rsidRPr="00B053FF" w:rsidRDefault="00DE58E5" w:rsidP="00A04CA2">
      <w:pPr>
        <w:spacing w:line="480" w:lineRule="auto"/>
        <w:rPr>
          <w:rFonts w:ascii="Times New Roman" w:hAnsi="Times New Roman"/>
          <w:szCs w:val="24"/>
        </w:rPr>
      </w:pPr>
      <w:r w:rsidRPr="00B053FF">
        <w:rPr>
          <w:rFonts w:ascii="Times New Roman" w:hAnsi="Times New Roman"/>
          <w:szCs w:val="24"/>
        </w:rPr>
        <w:tab/>
        <w:t xml:space="preserve">Second, because of the multi-stage data availability </w:t>
      </w:r>
      <w:r w:rsidR="0043733E" w:rsidRPr="00B053FF">
        <w:rPr>
          <w:rFonts w:ascii="Times New Roman" w:hAnsi="Times New Roman"/>
          <w:szCs w:val="24"/>
        </w:rPr>
        <w:t xml:space="preserve">and the relative visibility of </w:t>
      </w:r>
      <w:r w:rsidRPr="00B053FF">
        <w:rPr>
          <w:rFonts w:ascii="Times New Roman" w:hAnsi="Times New Roman"/>
          <w:szCs w:val="24"/>
        </w:rPr>
        <w:t>policy choices within different districts, coupled with a wealth of primary documents</w:t>
      </w:r>
      <w:r w:rsidR="0043733E" w:rsidRPr="00B053FF">
        <w:rPr>
          <w:rFonts w:ascii="Times New Roman" w:hAnsi="Times New Roman"/>
          <w:szCs w:val="24"/>
        </w:rPr>
        <w:t xml:space="preserve"> that speak to the logics underlying the construction </w:t>
      </w:r>
      <w:r w:rsidR="003A5790" w:rsidRPr="00B053FF">
        <w:rPr>
          <w:rFonts w:ascii="Times New Roman" w:hAnsi="Times New Roman"/>
          <w:szCs w:val="24"/>
        </w:rPr>
        <w:t xml:space="preserve">and maintenance </w:t>
      </w:r>
      <w:r w:rsidR="0043733E" w:rsidRPr="00B053FF">
        <w:rPr>
          <w:rFonts w:ascii="Times New Roman" w:hAnsi="Times New Roman"/>
          <w:szCs w:val="24"/>
        </w:rPr>
        <w:t xml:space="preserve">of the </w:t>
      </w:r>
      <w:r w:rsidR="00A33A89">
        <w:rPr>
          <w:rFonts w:ascii="Times New Roman" w:hAnsi="Times New Roman"/>
          <w:szCs w:val="24"/>
        </w:rPr>
        <w:t>federal</w:t>
      </w:r>
      <w:r w:rsidR="0043733E" w:rsidRPr="00B053FF">
        <w:rPr>
          <w:rFonts w:ascii="Times New Roman" w:hAnsi="Times New Roman"/>
          <w:szCs w:val="24"/>
        </w:rPr>
        <w:t xml:space="preserve"> sentencing regime, the</w:t>
      </w:r>
      <w:r w:rsidRPr="00B053FF">
        <w:rPr>
          <w:rFonts w:ascii="Times New Roman" w:hAnsi="Times New Roman"/>
          <w:szCs w:val="24"/>
        </w:rPr>
        <w:t xml:space="preserve"> federal case offers </w:t>
      </w:r>
      <w:r w:rsidR="0043733E" w:rsidRPr="00B053FF">
        <w:rPr>
          <w:rFonts w:ascii="Times New Roman" w:hAnsi="Times New Roman"/>
          <w:szCs w:val="24"/>
        </w:rPr>
        <w:t xml:space="preserve">an </w:t>
      </w:r>
      <w:r w:rsidRPr="00B053FF">
        <w:rPr>
          <w:rFonts w:ascii="Times New Roman" w:hAnsi="Times New Roman"/>
          <w:szCs w:val="24"/>
        </w:rPr>
        <w:t xml:space="preserve">opportunity to generate empirically </w:t>
      </w:r>
      <w:r w:rsidR="00A455D1" w:rsidRPr="00B053FF">
        <w:rPr>
          <w:rFonts w:ascii="Times New Roman" w:hAnsi="Times New Roman"/>
          <w:szCs w:val="24"/>
        </w:rPr>
        <w:t xml:space="preserve">rich, </w:t>
      </w:r>
      <w:r w:rsidRPr="00B053FF">
        <w:rPr>
          <w:rFonts w:ascii="Times New Roman" w:hAnsi="Times New Roman"/>
          <w:szCs w:val="24"/>
        </w:rPr>
        <w:t>grounded theoretical explanations of institutional action</w:t>
      </w:r>
      <w:r w:rsidR="00A455D1" w:rsidRPr="00B053FF">
        <w:rPr>
          <w:rFonts w:ascii="Times New Roman" w:hAnsi="Times New Roman"/>
          <w:szCs w:val="24"/>
        </w:rPr>
        <w:t xml:space="preserve">. </w:t>
      </w:r>
      <w:r w:rsidRPr="00B053FF">
        <w:rPr>
          <w:rFonts w:ascii="Times New Roman" w:hAnsi="Times New Roman"/>
          <w:szCs w:val="24"/>
        </w:rPr>
        <w:t xml:space="preserve"> </w:t>
      </w:r>
      <w:r w:rsidR="00A455D1" w:rsidRPr="00B053FF">
        <w:rPr>
          <w:rFonts w:ascii="Times New Roman" w:hAnsi="Times New Roman"/>
          <w:szCs w:val="24"/>
        </w:rPr>
        <w:t>T</w:t>
      </w:r>
      <w:r w:rsidR="00EF5018" w:rsidRPr="00B053FF">
        <w:rPr>
          <w:rFonts w:ascii="Times New Roman" w:hAnsi="Times New Roman"/>
          <w:szCs w:val="24"/>
        </w:rPr>
        <w:t xml:space="preserve">hat </w:t>
      </w:r>
      <w:r w:rsidR="00A455D1" w:rsidRPr="00B053FF">
        <w:rPr>
          <w:rFonts w:ascii="Times New Roman" w:hAnsi="Times New Roman"/>
          <w:szCs w:val="24"/>
        </w:rPr>
        <w:t xml:space="preserve">action </w:t>
      </w:r>
      <w:r w:rsidR="00EF5018" w:rsidRPr="00B053FF">
        <w:rPr>
          <w:rFonts w:ascii="Times New Roman" w:hAnsi="Times New Roman"/>
          <w:szCs w:val="24"/>
        </w:rPr>
        <w:t>bega</w:t>
      </w:r>
      <w:r w:rsidR="0043733E" w:rsidRPr="00B053FF">
        <w:rPr>
          <w:rFonts w:ascii="Times New Roman" w:hAnsi="Times New Roman"/>
          <w:szCs w:val="24"/>
        </w:rPr>
        <w:t xml:space="preserve">n with a major exogenous shock to the </w:t>
      </w:r>
      <w:r w:rsidR="00A455D1" w:rsidRPr="00B053FF">
        <w:rPr>
          <w:rFonts w:ascii="Times New Roman" w:hAnsi="Times New Roman"/>
          <w:szCs w:val="24"/>
        </w:rPr>
        <w:t xml:space="preserve">entire </w:t>
      </w:r>
      <w:r w:rsidR="0043733E" w:rsidRPr="00B053FF">
        <w:rPr>
          <w:rFonts w:ascii="Times New Roman" w:hAnsi="Times New Roman"/>
          <w:szCs w:val="24"/>
        </w:rPr>
        <w:t>system</w:t>
      </w:r>
      <w:r w:rsidR="00EF5018" w:rsidRPr="00B053FF">
        <w:rPr>
          <w:rFonts w:ascii="Times New Roman" w:hAnsi="Times New Roman"/>
          <w:szCs w:val="24"/>
        </w:rPr>
        <w:t xml:space="preserve"> in the </w:t>
      </w:r>
      <w:r w:rsidR="00EF5018" w:rsidRPr="00B053FF">
        <w:rPr>
          <w:rFonts w:ascii="Times New Roman" w:hAnsi="Times New Roman"/>
          <w:szCs w:val="24"/>
        </w:rPr>
        <w:lastRenderedPageBreak/>
        <w:t>form of the Sentencing Commission-impose</w:t>
      </w:r>
      <w:r w:rsidR="00A455D1" w:rsidRPr="00B053FF">
        <w:rPr>
          <w:rFonts w:ascii="Times New Roman" w:hAnsi="Times New Roman"/>
          <w:szCs w:val="24"/>
        </w:rPr>
        <w:t>d Guidelines</w:t>
      </w:r>
      <w:r w:rsidR="002A0092" w:rsidRPr="00B053FF">
        <w:rPr>
          <w:rFonts w:ascii="Times New Roman" w:hAnsi="Times New Roman"/>
          <w:szCs w:val="24"/>
        </w:rPr>
        <w:t xml:space="preserve">. This structural change clearly played a part in the subsequent proliferation of criminal cases, especially drug cases, above and beyond its intended effects of both toughening sanctions and constraining judicial sentencing discretion. </w:t>
      </w:r>
    </w:p>
    <w:p w14:paraId="631035B3" w14:textId="6867F6CB" w:rsidR="00A04CA2" w:rsidRPr="00B053FF" w:rsidRDefault="002A0092" w:rsidP="003B3392">
      <w:pPr>
        <w:spacing w:line="480" w:lineRule="auto"/>
        <w:ind w:right="-90" w:firstLine="720"/>
        <w:rPr>
          <w:rFonts w:ascii="Times New Roman" w:hAnsi="Times New Roman"/>
          <w:szCs w:val="24"/>
        </w:rPr>
      </w:pPr>
      <w:r w:rsidRPr="00B053FF">
        <w:rPr>
          <w:rFonts w:ascii="Times New Roman" w:hAnsi="Times New Roman"/>
          <w:szCs w:val="24"/>
        </w:rPr>
        <w:t xml:space="preserve">As </w:t>
      </w:r>
      <w:r w:rsidR="00861A4B" w:rsidRPr="00B053FF">
        <w:rPr>
          <w:rFonts w:ascii="Times New Roman" w:hAnsi="Times New Roman"/>
          <w:szCs w:val="24"/>
        </w:rPr>
        <w:t>this book explains, though,</w:t>
      </w:r>
      <w:r w:rsidRPr="00B053FF">
        <w:rPr>
          <w:rFonts w:ascii="Times New Roman" w:hAnsi="Times New Roman"/>
          <w:szCs w:val="24"/>
        </w:rPr>
        <w:t xml:space="preserve"> it is not enough</w:t>
      </w:r>
      <w:r w:rsidR="00861A4B" w:rsidRPr="00B053FF">
        <w:rPr>
          <w:rFonts w:ascii="Times New Roman" w:hAnsi="Times New Roman"/>
          <w:szCs w:val="24"/>
        </w:rPr>
        <w:t xml:space="preserve"> </w:t>
      </w:r>
      <w:r w:rsidRPr="00B053FF">
        <w:rPr>
          <w:rFonts w:ascii="Times New Roman" w:hAnsi="Times New Roman"/>
          <w:szCs w:val="24"/>
        </w:rPr>
        <w:t>to identify that major causal force and show its dramatic ef</w:t>
      </w:r>
      <w:r w:rsidR="00B859D7" w:rsidRPr="00B053FF">
        <w:rPr>
          <w:rFonts w:ascii="Times New Roman" w:hAnsi="Times New Roman"/>
          <w:szCs w:val="24"/>
        </w:rPr>
        <w:t>fects</w:t>
      </w:r>
      <w:r w:rsidR="009667C4" w:rsidRPr="00B053FF">
        <w:rPr>
          <w:rFonts w:ascii="Times New Roman" w:hAnsi="Times New Roman"/>
          <w:szCs w:val="24"/>
        </w:rPr>
        <w:t>.  That legal structure</w:t>
      </w:r>
      <w:r w:rsidRPr="00B053FF">
        <w:rPr>
          <w:rFonts w:ascii="Times New Roman" w:hAnsi="Times New Roman"/>
          <w:szCs w:val="24"/>
        </w:rPr>
        <w:t>—which aimed to “</w:t>
      </w:r>
      <w:r w:rsidR="009667C4" w:rsidRPr="00B053FF">
        <w:rPr>
          <w:rFonts w:ascii="Times New Roman" w:hAnsi="Times New Roman"/>
          <w:szCs w:val="24"/>
        </w:rPr>
        <w:t>provide certainty</w:t>
      </w:r>
      <w:r w:rsidRPr="00B053FF">
        <w:rPr>
          <w:rFonts w:ascii="Times New Roman" w:hAnsi="Times New Roman"/>
          <w:szCs w:val="24"/>
        </w:rPr>
        <w:t xml:space="preserve"> </w:t>
      </w:r>
      <w:r w:rsidR="009667C4" w:rsidRPr="00B053FF">
        <w:rPr>
          <w:rFonts w:ascii="Times New Roman" w:hAnsi="Times New Roman"/>
          <w:szCs w:val="24"/>
        </w:rPr>
        <w:t xml:space="preserve">and fairness…by avoiding unwarranted disparity </w:t>
      </w:r>
      <w:r w:rsidR="00CC4878" w:rsidRPr="00B053FF">
        <w:rPr>
          <w:rFonts w:ascii="Times New Roman" w:hAnsi="Times New Roman"/>
          <w:szCs w:val="24"/>
        </w:rPr>
        <w:t>among offenders with similar characteristics convicted of similar offenses.”</w:t>
      </w:r>
      <w:r w:rsidR="00CC4878" w:rsidRPr="00B053FF">
        <w:rPr>
          <w:rStyle w:val="FootnoteReference"/>
          <w:rFonts w:ascii="Times New Roman" w:hAnsi="Times New Roman"/>
          <w:szCs w:val="24"/>
        </w:rPr>
        <w:footnoteReference w:id="10"/>
      </w:r>
      <w:r w:rsidR="00CC4878" w:rsidRPr="00B053FF">
        <w:rPr>
          <w:rFonts w:ascii="Times New Roman" w:hAnsi="Times New Roman"/>
          <w:szCs w:val="24"/>
        </w:rPr>
        <w:t>—seems on its face to have failed in it at least one half of that goal (it does provide certainty of punishment</w:t>
      </w:r>
      <w:r w:rsidR="001A527D" w:rsidRPr="00B053FF">
        <w:rPr>
          <w:rFonts w:ascii="Times New Roman" w:hAnsi="Times New Roman"/>
          <w:szCs w:val="24"/>
        </w:rPr>
        <w:t xml:space="preserve"> for those brought into federal court</w:t>
      </w:r>
      <w:r w:rsidR="00CC4878" w:rsidRPr="00B053FF">
        <w:rPr>
          <w:rFonts w:ascii="Times New Roman" w:hAnsi="Times New Roman"/>
          <w:szCs w:val="24"/>
        </w:rPr>
        <w:t>), and the quality and degree of its fairness and disparity failures diverge considerably over time and as a function of place</w:t>
      </w:r>
      <w:r w:rsidR="00C6465B">
        <w:rPr>
          <w:rFonts w:ascii="Times New Roman" w:hAnsi="Times New Roman"/>
          <w:szCs w:val="24"/>
        </w:rPr>
        <w:t>.</w:t>
      </w:r>
      <w:r w:rsidR="00C6465B">
        <w:rPr>
          <w:rStyle w:val="FootnoteReference"/>
          <w:rFonts w:ascii="Times New Roman" w:hAnsi="Times New Roman"/>
          <w:szCs w:val="24"/>
        </w:rPr>
        <w:footnoteReference w:id="11"/>
      </w:r>
      <w:r w:rsidR="00C6465B">
        <w:rPr>
          <w:rFonts w:ascii="Times New Roman" w:hAnsi="Times New Roman"/>
          <w:szCs w:val="24"/>
        </w:rPr>
        <w:t xml:space="preserve"> </w:t>
      </w:r>
      <w:r w:rsidR="00B76AC0" w:rsidRPr="00B053FF">
        <w:rPr>
          <w:rFonts w:ascii="Times New Roman" w:hAnsi="Times New Roman"/>
          <w:szCs w:val="24"/>
        </w:rPr>
        <w:t xml:space="preserve">Bringing a social psychological frame to explain institutional action will elucidate why policy “failures” like these are neither wholly unintended, nor wholly unpredictable. </w:t>
      </w:r>
      <w:r w:rsidR="00B859D7" w:rsidRPr="00B053FF">
        <w:rPr>
          <w:rFonts w:ascii="Times New Roman" w:hAnsi="Times New Roman"/>
          <w:szCs w:val="24"/>
        </w:rPr>
        <w:t xml:space="preserve"> </w:t>
      </w:r>
    </w:p>
    <w:p w14:paraId="3C0C7334" w14:textId="4EFD68B5" w:rsidR="00F3022E" w:rsidRPr="00B053FF" w:rsidRDefault="00F15CB5" w:rsidP="00A04CA2">
      <w:pPr>
        <w:spacing w:line="480" w:lineRule="auto"/>
        <w:rPr>
          <w:rFonts w:ascii="Times New Roman" w:hAnsi="Times New Roman"/>
          <w:szCs w:val="24"/>
        </w:rPr>
      </w:pPr>
      <w:r w:rsidRPr="00B053FF">
        <w:rPr>
          <w:rFonts w:ascii="Times New Roman" w:hAnsi="Times New Roman"/>
          <w:szCs w:val="24"/>
        </w:rPr>
        <w:tab/>
        <w:t>This, then, leads to the normative importance of the federal case</w:t>
      </w:r>
      <w:r w:rsidR="003B0E9D" w:rsidRPr="00B053FF">
        <w:rPr>
          <w:rFonts w:ascii="Times New Roman" w:hAnsi="Times New Roman"/>
          <w:szCs w:val="24"/>
        </w:rPr>
        <w:t xml:space="preserve">, and my siting of </w:t>
      </w:r>
      <w:r w:rsidR="008A0DDC" w:rsidRPr="00B053FF">
        <w:rPr>
          <w:rFonts w:ascii="Times New Roman" w:hAnsi="Times New Roman"/>
          <w:szCs w:val="24"/>
        </w:rPr>
        <w:t>the study</w:t>
      </w:r>
      <w:r w:rsidR="003B0E9D" w:rsidRPr="00B053FF">
        <w:rPr>
          <w:rFonts w:ascii="Times New Roman" w:hAnsi="Times New Roman"/>
          <w:szCs w:val="24"/>
        </w:rPr>
        <w:t xml:space="preserve"> within trial-level courts</w:t>
      </w:r>
      <w:r w:rsidRPr="00B053FF">
        <w:rPr>
          <w:rFonts w:ascii="Times New Roman" w:hAnsi="Times New Roman"/>
          <w:szCs w:val="24"/>
        </w:rPr>
        <w:t xml:space="preserve">. </w:t>
      </w:r>
      <w:r w:rsidR="003B0E9D" w:rsidRPr="00B053FF">
        <w:rPr>
          <w:rFonts w:ascii="Times New Roman" w:hAnsi="Times New Roman"/>
          <w:szCs w:val="24"/>
        </w:rPr>
        <w:t xml:space="preserve">While the federal government </w:t>
      </w:r>
      <w:r w:rsidR="00440F73" w:rsidRPr="00B053FF">
        <w:rPr>
          <w:rFonts w:ascii="Times New Roman" w:hAnsi="Times New Roman"/>
          <w:szCs w:val="24"/>
        </w:rPr>
        <w:t>has often followed</w:t>
      </w:r>
      <w:r w:rsidR="00861A4B" w:rsidRPr="00B053FF">
        <w:rPr>
          <w:rFonts w:ascii="Times New Roman" w:hAnsi="Times New Roman"/>
          <w:szCs w:val="24"/>
        </w:rPr>
        <w:t xml:space="preserve"> rather than led</w:t>
      </w:r>
      <w:r w:rsidR="003B0E9D" w:rsidRPr="00B053FF">
        <w:rPr>
          <w:rFonts w:ascii="Times New Roman" w:hAnsi="Times New Roman"/>
          <w:szCs w:val="24"/>
        </w:rPr>
        <w:t xml:space="preserve"> in </w:t>
      </w:r>
      <w:r w:rsidR="00440F73" w:rsidRPr="00B053FF">
        <w:rPr>
          <w:rFonts w:ascii="Times New Roman" w:hAnsi="Times New Roman"/>
          <w:szCs w:val="24"/>
        </w:rPr>
        <w:t>policy</w:t>
      </w:r>
      <w:r w:rsidR="003B0E9D" w:rsidRPr="00B053FF">
        <w:rPr>
          <w:rFonts w:ascii="Times New Roman" w:hAnsi="Times New Roman"/>
          <w:szCs w:val="24"/>
        </w:rPr>
        <w:t xml:space="preserve"> trends</w:t>
      </w:r>
      <w:r w:rsidR="00C6465B">
        <w:rPr>
          <w:rFonts w:ascii="Times New Roman" w:hAnsi="Times New Roman"/>
          <w:szCs w:val="24"/>
        </w:rPr>
        <w:t>,</w:t>
      </w:r>
      <w:r w:rsidR="00C6465B">
        <w:rPr>
          <w:rStyle w:val="FootnoteReference"/>
          <w:rFonts w:ascii="Times New Roman" w:hAnsi="Times New Roman"/>
          <w:szCs w:val="24"/>
        </w:rPr>
        <w:footnoteReference w:id="12"/>
      </w:r>
      <w:r w:rsidR="00C6465B">
        <w:rPr>
          <w:rFonts w:ascii="Times New Roman" w:hAnsi="Times New Roman"/>
          <w:szCs w:val="24"/>
        </w:rPr>
        <w:t xml:space="preserve"> </w:t>
      </w:r>
      <w:r w:rsidR="00440F73" w:rsidRPr="00B053FF">
        <w:rPr>
          <w:rFonts w:ascii="Times New Roman" w:hAnsi="Times New Roman"/>
          <w:szCs w:val="24"/>
        </w:rPr>
        <w:t xml:space="preserve">it was right out in front in this case, especially in regard to the crack disparity innovation. There were some infamous predecessor drug laws at the state level (most notably New York’s Rockefeller drug laws enacted in 1973), but the </w:t>
      </w:r>
      <w:r w:rsidR="008A0DDC" w:rsidRPr="00B053FF">
        <w:rPr>
          <w:rFonts w:ascii="Times New Roman" w:hAnsi="Times New Roman"/>
          <w:szCs w:val="24"/>
        </w:rPr>
        <w:t xml:space="preserve">nature </w:t>
      </w:r>
      <w:r w:rsidR="00440F73" w:rsidRPr="00B053FF">
        <w:rPr>
          <w:rFonts w:ascii="Times New Roman" w:hAnsi="Times New Roman"/>
          <w:szCs w:val="24"/>
        </w:rPr>
        <w:t xml:space="preserve">of </w:t>
      </w:r>
      <w:r w:rsidR="008A0DDC" w:rsidRPr="00B053FF">
        <w:rPr>
          <w:rFonts w:ascii="Times New Roman" w:hAnsi="Times New Roman"/>
          <w:szCs w:val="24"/>
        </w:rPr>
        <w:t xml:space="preserve">the </w:t>
      </w:r>
      <w:r w:rsidR="00440F73" w:rsidRPr="00B053FF">
        <w:rPr>
          <w:rFonts w:ascii="Times New Roman" w:hAnsi="Times New Roman"/>
          <w:szCs w:val="24"/>
        </w:rPr>
        <w:t>distinctions made in the</w:t>
      </w:r>
      <w:r w:rsidR="00861A4B" w:rsidRPr="00B053FF">
        <w:rPr>
          <w:rFonts w:ascii="Times New Roman" w:hAnsi="Times New Roman"/>
          <w:szCs w:val="24"/>
        </w:rPr>
        <w:t xml:space="preserve"> federal</w:t>
      </w:r>
      <w:r w:rsidR="00440F73" w:rsidRPr="00B053FF">
        <w:rPr>
          <w:rFonts w:ascii="Times New Roman" w:hAnsi="Times New Roman"/>
          <w:szCs w:val="24"/>
        </w:rPr>
        <w:t xml:space="preserve"> drug laws that structurally institutionalized racism into the system of punishment was revolutionary in the post-Civil Rights era</w:t>
      </w:r>
      <w:r w:rsidR="00C6465B">
        <w:rPr>
          <w:rFonts w:ascii="Times New Roman" w:hAnsi="Times New Roman"/>
          <w:szCs w:val="24"/>
        </w:rPr>
        <w:t>.</w:t>
      </w:r>
      <w:r w:rsidR="00C6465B">
        <w:rPr>
          <w:rStyle w:val="FootnoteReference"/>
          <w:rFonts w:ascii="Times New Roman" w:hAnsi="Times New Roman"/>
          <w:szCs w:val="24"/>
        </w:rPr>
        <w:footnoteReference w:id="13"/>
      </w:r>
      <w:r w:rsidR="00C6465B">
        <w:rPr>
          <w:rFonts w:ascii="Times New Roman" w:hAnsi="Times New Roman"/>
          <w:szCs w:val="24"/>
        </w:rPr>
        <w:t xml:space="preserve"> </w:t>
      </w:r>
      <w:r w:rsidR="00F3022E" w:rsidRPr="00B053FF">
        <w:rPr>
          <w:rFonts w:ascii="Times New Roman" w:hAnsi="Times New Roman"/>
          <w:szCs w:val="24"/>
        </w:rPr>
        <w:t>Thirteen states dire</w:t>
      </w:r>
      <w:r w:rsidR="003A5790" w:rsidRPr="00B053FF">
        <w:rPr>
          <w:rFonts w:ascii="Times New Roman" w:hAnsi="Times New Roman"/>
          <w:szCs w:val="24"/>
        </w:rPr>
        <w:t>ctly followed suit by building a</w:t>
      </w:r>
      <w:r w:rsidR="00F3022E" w:rsidRPr="00B053FF">
        <w:rPr>
          <w:rFonts w:ascii="Times New Roman" w:hAnsi="Times New Roman"/>
          <w:szCs w:val="24"/>
        </w:rPr>
        <w:t xml:space="preserve"> crack-powder disparity in</w:t>
      </w:r>
      <w:r w:rsidR="008A0DDC" w:rsidRPr="00B053FF">
        <w:rPr>
          <w:rFonts w:ascii="Times New Roman" w:hAnsi="Times New Roman"/>
          <w:szCs w:val="24"/>
        </w:rPr>
        <w:t>to</w:t>
      </w:r>
      <w:r w:rsidR="00F3022E" w:rsidRPr="00B053FF">
        <w:rPr>
          <w:rFonts w:ascii="Times New Roman" w:hAnsi="Times New Roman"/>
          <w:szCs w:val="24"/>
        </w:rPr>
        <w:t xml:space="preserve"> their drug laws</w:t>
      </w:r>
      <w:r w:rsidR="00C6465B">
        <w:rPr>
          <w:rFonts w:ascii="Times New Roman" w:hAnsi="Times New Roman"/>
          <w:szCs w:val="24"/>
        </w:rPr>
        <w:t>.</w:t>
      </w:r>
      <w:r w:rsidR="00C6465B">
        <w:rPr>
          <w:rStyle w:val="FootnoteReference"/>
          <w:rFonts w:ascii="Times New Roman" w:hAnsi="Times New Roman"/>
          <w:szCs w:val="24"/>
        </w:rPr>
        <w:footnoteReference w:id="14"/>
      </w:r>
      <w:r w:rsidR="00F3022E" w:rsidRPr="00B053FF">
        <w:rPr>
          <w:rFonts w:ascii="Times New Roman" w:hAnsi="Times New Roman"/>
          <w:szCs w:val="24"/>
        </w:rPr>
        <w:t xml:space="preserve"> More treacherous, though, was the aggressive, </w:t>
      </w:r>
      <w:r w:rsidR="00F3022E" w:rsidRPr="00B053FF">
        <w:rPr>
          <w:rFonts w:ascii="Times New Roman" w:hAnsi="Times New Roman"/>
          <w:szCs w:val="24"/>
        </w:rPr>
        <w:lastRenderedPageBreak/>
        <w:t xml:space="preserve">racially targeted frontline law enforcement that was spawned from the elevation of crack’s seriousness </w:t>
      </w:r>
      <w:r w:rsidR="00861A4B" w:rsidRPr="00B053FF">
        <w:rPr>
          <w:rFonts w:ascii="Times New Roman" w:hAnsi="Times New Roman"/>
          <w:szCs w:val="24"/>
        </w:rPr>
        <w:t>in the highl</w:t>
      </w:r>
      <w:r w:rsidR="00C6465B">
        <w:rPr>
          <w:rFonts w:ascii="Times New Roman" w:hAnsi="Times New Roman"/>
          <w:szCs w:val="24"/>
        </w:rPr>
        <w:t>y publicized federal law-making.</w:t>
      </w:r>
      <w:r w:rsidR="00C6465B">
        <w:rPr>
          <w:rStyle w:val="FootnoteReference"/>
          <w:rFonts w:ascii="Times New Roman" w:hAnsi="Times New Roman"/>
          <w:szCs w:val="24"/>
        </w:rPr>
        <w:footnoteReference w:id="15"/>
      </w:r>
    </w:p>
    <w:p w14:paraId="107E69B8" w14:textId="57806B11" w:rsidR="00DE58E5" w:rsidRPr="00B053FF" w:rsidRDefault="00F3022E" w:rsidP="00F3022E">
      <w:pPr>
        <w:spacing w:line="480" w:lineRule="auto"/>
        <w:ind w:firstLine="720"/>
        <w:rPr>
          <w:rFonts w:ascii="Times New Roman" w:hAnsi="Times New Roman"/>
          <w:szCs w:val="24"/>
        </w:rPr>
      </w:pPr>
      <w:r w:rsidRPr="00B053FF">
        <w:rPr>
          <w:rFonts w:ascii="Times New Roman" w:hAnsi="Times New Roman"/>
          <w:szCs w:val="24"/>
        </w:rPr>
        <w:t>Moreover, t</w:t>
      </w:r>
      <w:r w:rsidR="00B92B6D" w:rsidRPr="00B053FF">
        <w:rPr>
          <w:rFonts w:ascii="Times New Roman" w:hAnsi="Times New Roman"/>
          <w:szCs w:val="24"/>
        </w:rPr>
        <w:t xml:space="preserve">here are myriad other legal tools at work in this system, including how criminal history is used to enhance </w:t>
      </w:r>
      <w:r w:rsidR="00A33A89">
        <w:rPr>
          <w:rFonts w:ascii="Times New Roman" w:hAnsi="Times New Roman"/>
          <w:szCs w:val="24"/>
        </w:rPr>
        <w:t>punishment</w:t>
      </w:r>
      <w:r w:rsidR="00B92B6D" w:rsidRPr="00B053FF">
        <w:rPr>
          <w:rFonts w:ascii="Times New Roman" w:hAnsi="Times New Roman"/>
          <w:szCs w:val="24"/>
        </w:rPr>
        <w:t xml:space="preserve"> and foreclose mitigation, that also institutionalize racial disparities in sentences. Therefore,</w:t>
      </w:r>
      <w:r w:rsidR="00440F73" w:rsidRPr="00B053FF">
        <w:rPr>
          <w:rFonts w:ascii="Times New Roman" w:hAnsi="Times New Roman"/>
          <w:szCs w:val="24"/>
        </w:rPr>
        <w:t xml:space="preserve"> uncovering the mechanics of how these l</w:t>
      </w:r>
      <w:r w:rsidR="00B92B6D" w:rsidRPr="00B053FF">
        <w:rPr>
          <w:rFonts w:ascii="Times New Roman" w:hAnsi="Times New Roman"/>
          <w:szCs w:val="24"/>
        </w:rPr>
        <w:t>egal strategies</w:t>
      </w:r>
      <w:r w:rsidR="00440F73" w:rsidRPr="00B053FF">
        <w:rPr>
          <w:rFonts w:ascii="Times New Roman" w:hAnsi="Times New Roman"/>
          <w:szCs w:val="24"/>
        </w:rPr>
        <w:t xml:space="preserve"> have been </w:t>
      </w:r>
      <w:r w:rsidR="00B92B6D" w:rsidRPr="00B053FF">
        <w:rPr>
          <w:rFonts w:ascii="Times New Roman" w:hAnsi="Times New Roman"/>
          <w:szCs w:val="24"/>
        </w:rPr>
        <w:t>variously deployed will aid in assigning responsibility for their effects. Prosecutorial ethics—as a systemic concern—</w:t>
      </w:r>
      <w:r w:rsidR="003A5790" w:rsidRPr="00B053FF">
        <w:rPr>
          <w:rFonts w:ascii="Times New Roman" w:hAnsi="Times New Roman"/>
          <w:szCs w:val="24"/>
        </w:rPr>
        <w:t xml:space="preserve"> and the power bestowed upon </w:t>
      </w:r>
      <w:r w:rsidR="00C6465B">
        <w:rPr>
          <w:rFonts w:ascii="Times New Roman" w:hAnsi="Times New Roman"/>
          <w:szCs w:val="24"/>
        </w:rPr>
        <w:t>the prosecutorial role</w:t>
      </w:r>
      <w:r w:rsidR="003A5790" w:rsidRPr="00B053FF">
        <w:rPr>
          <w:rFonts w:ascii="Times New Roman" w:hAnsi="Times New Roman"/>
          <w:szCs w:val="24"/>
        </w:rPr>
        <w:t xml:space="preserve"> </w:t>
      </w:r>
      <w:r w:rsidR="00B92B6D" w:rsidRPr="00B053FF">
        <w:rPr>
          <w:rFonts w:ascii="Times New Roman" w:hAnsi="Times New Roman"/>
          <w:szCs w:val="24"/>
        </w:rPr>
        <w:t>lie at the heart of the normative questions I raise here. Ultimately, significant retrenchment will not be possible without constraining and reorienting the prosecutorial power that has accumulated under the current system</w:t>
      </w:r>
      <w:r w:rsidR="00644AAB">
        <w:rPr>
          <w:rFonts w:ascii="Times New Roman" w:hAnsi="Times New Roman"/>
          <w:szCs w:val="24"/>
        </w:rPr>
        <w:t xml:space="preserve">, in concert with serious restructuring </w:t>
      </w:r>
      <w:r w:rsidR="00691584">
        <w:rPr>
          <w:rFonts w:ascii="Times New Roman" w:hAnsi="Times New Roman"/>
          <w:szCs w:val="24"/>
        </w:rPr>
        <w:t xml:space="preserve">and scaling back </w:t>
      </w:r>
      <w:r w:rsidR="00644AAB">
        <w:rPr>
          <w:rFonts w:ascii="Times New Roman" w:hAnsi="Times New Roman"/>
          <w:szCs w:val="24"/>
        </w:rPr>
        <w:t xml:space="preserve">of the substantive criminal law that </w:t>
      </w:r>
      <w:r w:rsidR="00DF748A">
        <w:rPr>
          <w:rFonts w:ascii="Times New Roman" w:hAnsi="Times New Roman"/>
          <w:szCs w:val="24"/>
        </w:rPr>
        <w:t>supplies</w:t>
      </w:r>
      <w:r w:rsidR="00644AAB">
        <w:rPr>
          <w:rFonts w:ascii="Times New Roman" w:hAnsi="Times New Roman"/>
          <w:szCs w:val="24"/>
        </w:rPr>
        <w:t xml:space="preserve"> much of that power</w:t>
      </w:r>
      <w:r w:rsidR="00B92B6D" w:rsidRPr="00B053FF">
        <w:rPr>
          <w:rFonts w:ascii="Times New Roman" w:hAnsi="Times New Roman"/>
          <w:szCs w:val="24"/>
        </w:rPr>
        <w:t xml:space="preserve">. </w:t>
      </w:r>
    </w:p>
    <w:p w14:paraId="64D0080C" w14:textId="71834879" w:rsidR="004E4FA4" w:rsidRPr="00B053FF" w:rsidRDefault="004E4FA4" w:rsidP="00E718C9">
      <w:pPr>
        <w:spacing w:line="480" w:lineRule="auto"/>
        <w:rPr>
          <w:rFonts w:ascii="Times New Roman" w:hAnsi="Times New Roman"/>
          <w:szCs w:val="24"/>
        </w:rPr>
      </w:pPr>
      <w:r>
        <w:rPr>
          <w:rFonts w:ascii="Times New Roman" w:hAnsi="Times New Roman"/>
          <w:szCs w:val="24"/>
        </w:rPr>
        <w:tab/>
        <w:t xml:space="preserve">Because of the very structure of this system, we need to beware of complacency as the political ethos around the drug war begins to change. Indeed, at first glance, </w:t>
      </w:r>
      <w:r w:rsidR="00E718C9">
        <w:rPr>
          <w:rFonts w:ascii="Times New Roman" w:hAnsi="Times New Roman"/>
          <w:szCs w:val="24"/>
        </w:rPr>
        <w:t>there appears to be</w:t>
      </w:r>
      <w:r w:rsidRPr="00B053FF">
        <w:rPr>
          <w:rFonts w:ascii="Times New Roman" w:hAnsi="Times New Roman"/>
          <w:szCs w:val="24"/>
        </w:rPr>
        <w:t xml:space="preserve"> a reversal of trend</w:t>
      </w:r>
      <w:r w:rsidR="00E718C9">
        <w:rPr>
          <w:rFonts w:ascii="Times New Roman" w:hAnsi="Times New Roman"/>
          <w:szCs w:val="24"/>
        </w:rPr>
        <w:t xml:space="preserve"> underway</w:t>
      </w:r>
      <w:r w:rsidR="00691584">
        <w:rPr>
          <w:rFonts w:ascii="Times New Roman" w:hAnsi="Times New Roman"/>
          <w:szCs w:val="24"/>
        </w:rPr>
        <w:t xml:space="preserve"> in that several</w:t>
      </w:r>
      <w:r w:rsidRPr="00B053FF">
        <w:rPr>
          <w:rFonts w:ascii="Times New Roman" w:hAnsi="Times New Roman"/>
          <w:szCs w:val="24"/>
        </w:rPr>
        <w:t xml:space="preserve"> legal and policy developments signal that the federal drug war may be retrenching. First, in a series of cases, the United States Supreme Court rendered the federal sentencing Guidelines advisory rather than mandatory, thereby giving judges</w:t>
      </w:r>
      <w:r w:rsidR="009843EC">
        <w:rPr>
          <w:rFonts w:ascii="Times New Roman" w:hAnsi="Times New Roman"/>
          <w:szCs w:val="24"/>
        </w:rPr>
        <w:t xml:space="preserve"> more leeway to depart from Guidelines-determined </w:t>
      </w:r>
      <w:r w:rsidRPr="00B053FF">
        <w:rPr>
          <w:rFonts w:ascii="Times New Roman" w:hAnsi="Times New Roman"/>
          <w:szCs w:val="24"/>
        </w:rPr>
        <w:t>sentences in all federal criminal cases, including drug cases</w:t>
      </w:r>
      <w:r>
        <w:rPr>
          <w:rFonts w:ascii="Times New Roman" w:hAnsi="Times New Roman"/>
          <w:szCs w:val="24"/>
        </w:rPr>
        <w:t>.</w:t>
      </w:r>
      <w:r>
        <w:rPr>
          <w:rStyle w:val="FootnoteReference"/>
          <w:rFonts w:ascii="Times New Roman" w:hAnsi="Times New Roman"/>
          <w:szCs w:val="24"/>
        </w:rPr>
        <w:footnoteReference w:id="16"/>
      </w:r>
      <w:r>
        <w:rPr>
          <w:rFonts w:ascii="Times New Roman" w:hAnsi="Times New Roman"/>
          <w:szCs w:val="24"/>
        </w:rPr>
        <w:t xml:space="preserve"> </w:t>
      </w:r>
      <w:r w:rsidRPr="00B053FF">
        <w:rPr>
          <w:rFonts w:ascii="Times New Roman" w:hAnsi="Times New Roman"/>
          <w:szCs w:val="24"/>
        </w:rPr>
        <w:t xml:space="preserve">While mandatory minimums are still force in under these decisions, judicial sentencing in those cases that are not subject to mandatory minimums has been considerably liberated. </w:t>
      </w:r>
    </w:p>
    <w:p w14:paraId="1BD198FE" w14:textId="54804DC1" w:rsidR="004E4FA4" w:rsidRPr="00B23CF0" w:rsidRDefault="004E4FA4" w:rsidP="004E4FA4">
      <w:pPr>
        <w:spacing w:line="480" w:lineRule="auto"/>
        <w:ind w:firstLine="720"/>
        <w:rPr>
          <w:rFonts w:ascii="Times New Roman" w:eastAsia="Times New Roman" w:hAnsi="Times New Roman"/>
          <w:color w:val="000000"/>
          <w:szCs w:val="24"/>
          <w:shd w:val="clear" w:color="auto" w:fill="FFFFFF"/>
        </w:rPr>
      </w:pPr>
      <w:r w:rsidRPr="00B053FF">
        <w:rPr>
          <w:rFonts w:ascii="Times New Roman" w:hAnsi="Times New Roman"/>
          <w:szCs w:val="24"/>
        </w:rPr>
        <w:t xml:space="preserve">A few years later, after decades of refusing to take action, Congress tempered the harsh crack cocaine mandatory minimum statutes when it passed the Fair Sentencing Act of 2010, </w:t>
      </w:r>
      <w:r w:rsidRPr="00B053FF">
        <w:rPr>
          <w:rFonts w:ascii="Times New Roman" w:hAnsi="Times New Roman"/>
          <w:szCs w:val="24"/>
        </w:rPr>
        <w:lastRenderedPageBreak/>
        <w:t>which reduced the powder-crack disparity from 100-1 to 18-1.</w:t>
      </w:r>
      <w:r>
        <w:rPr>
          <w:rFonts w:ascii="Times New Roman" w:hAnsi="Times New Roman"/>
          <w:szCs w:val="24"/>
        </w:rPr>
        <w:t xml:space="preserve"> Additionally, i</w:t>
      </w:r>
      <w:r w:rsidRPr="00B053FF">
        <w:rPr>
          <w:rFonts w:ascii="Times New Roman" w:hAnsi="Times New Roman"/>
          <w:szCs w:val="24"/>
        </w:rPr>
        <w:t xml:space="preserve">n August 2013, </w:t>
      </w:r>
      <w:r>
        <w:rPr>
          <w:rFonts w:ascii="Times New Roman" w:hAnsi="Times New Roman"/>
          <w:szCs w:val="24"/>
        </w:rPr>
        <w:t>then-</w:t>
      </w:r>
      <w:r w:rsidRPr="00B053FF">
        <w:rPr>
          <w:rFonts w:ascii="Times New Roman" w:hAnsi="Times New Roman"/>
          <w:szCs w:val="24"/>
        </w:rPr>
        <w:t xml:space="preserve">United States Attorney General Eric Holder directed U.S. Attorneys across the nation to change their criminal charging policies so that low level drug defendants, even though </w:t>
      </w:r>
      <w:r w:rsidR="009843EC">
        <w:rPr>
          <w:rFonts w:ascii="Times New Roman" w:hAnsi="Times New Roman"/>
          <w:szCs w:val="24"/>
        </w:rPr>
        <w:t xml:space="preserve">legally </w:t>
      </w:r>
      <w:r w:rsidRPr="00B053FF">
        <w:rPr>
          <w:rFonts w:ascii="Times New Roman" w:hAnsi="Times New Roman"/>
          <w:szCs w:val="24"/>
        </w:rPr>
        <w:t>eligible, would no longer be charged with offenses that “impose draconian mandatory minimum sentences.”</w:t>
      </w:r>
      <w:r>
        <w:rPr>
          <w:rStyle w:val="FootnoteReference"/>
          <w:rFonts w:ascii="Times New Roman" w:hAnsi="Times New Roman"/>
          <w:szCs w:val="24"/>
        </w:rPr>
        <w:footnoteReference w:id="17"/>
      </w:r>
      <w:r w:rsidRPr="00B053FF">
        <w:rPr>
          <w:rFonts w:ascii="Times New Roman" w:hAnsi="Times New Roman"/>
          <w:szCs w:val="24"/>
        </w:rPr>
        <w:t xml:space="preserve"> Beginning in 2014, the Attorney General</w:t>
      </w:r>
      <w:r>
        <w:rPr>
          <w:rFonts w:ascii="Times New Roman" w:hAnsi="Times New Roman"/>
          <w:szCs w:val="24"/>
        </w:rPr>
        <w:t>’s office</w:t>
      </w:r>
      <w:r w:rsidRPr="00B053FF">
        <w:rPr>
          <w:rFonts w:ascii="Times New Roman" w:hAnsi="Times New Roman"/>
          <w:szCs w:val="24"/>
        </w:rPr>
        <w:t xml:space="preserve"> has also partnered with the President’s office to implement a clemency program that allows selected drug offenders who have done at least 10 years in prison with no significant disciplinary problems an opportunity to petition to be released. </w:t>
      </w:r>
    </w:p>
    <w:p w14:paraId="52E6F993" w14:textId="5DE11F50" w:rsidR="004E4FA4" w:rsidRPr="00B053FF" w:rsidRDefault="004E4FA4" w:rsidP="004E4FA4">
      <w:pPr>
        <w:spacing w:line="480" w:lineRule="auto"/>
        <w:ind w:right="-90" w:firstLine="720"/>
        <w:rPr>
          <w:rFonts w:ascii="Times New Roman" w:hAnsi="Times New Roman"/>
          <w:szCs w:val="24"/>
        </w:rPr>
      </w:pPr>
      <w:r w:rsidRPr="00B053FF">
        <w:rPr>
          <w:rFonts w:ascii="Times New Roman" w:hAnsi="Times New Roman"/>
          <w:szCs w:val="24"/>
        </w:rPr>
        <w:t xml:space="preserve">There has also been significant movement in Congress to reconsider, across the board, the punitive nature of the federal drug laws, driven in part by fiscal concerns and prison overcrowding, and in part by justice considerations. Thus, there remains </w:t>
      </w:r>
      <w:r w:rsidR="009843EC">
        <w:rPr>
          <w:rFonts w:ascii="Times New Roman" w:hAnsi="Times New Roman"/>
          <w:szCs w:val="24"/>
        </w:rPr>
        <w:t xml:space="preserve">wide </w:t>
      </w:r>
      <w:r w:rsidRPr="00B053FF">
        <w:rPr>
          <w:rFonts w:ascii="Times New Roman" w:hAnsi="Times New Roman"/>
          <w:szCs w:val="24"/>
        </w:rPr>
        <w:t xml:space="preserve">(although not full) bi-artisan support for drug sentencing reform, in the form of the Smarter Sentencing Act, which </w:t>
      </w:r>
      <w:r w:rsidR="009843EC">
        <w:rPr>
          <w:rFonts w:ascii="Times New Roman" w:hAnsi="Times New Roman"/>
          <w:szCs w:val="24"/>
        </w:rPr>
        <w:t>is being reintroduced, for the third time, for consideration in 2015</w:t>
      </w:r>
      <w:r w:rsidRPr="00B053FF">
        <w:rPr>
          <w:rFonts w:ascii="Times New Roman" w:hAnsi="Times New Roman"/>
          <w:szCs w:val="24"/>
        </w:rPr>
        <w:t xml:space="preserve">. Following suit, the United States Sentencing Commission reformulated the drug sentencing guidelines by reducing drug offense levels across the board, a move that was assented to by Congress. The practical effect of this change, which was made permanent in the November 2014 Guidelines Manual, was that the advisory guideline minimum sentences were reduced by anywhere from 6 months to more than 60 months, depending upon the seriousness the offense and criminal history of the defendant. </w:t>
      </w:r>
    </w:p>
    <w:p w14:paraId="02016A2D" w14:textId="77777777" w:rsidR="004E4FA4" w:rsidRDefault="004E4FA4" w:rsidP="004E4FA4">
      <w:pPr>
        <w:spacing w:line="480" w:lineRule="auto"/>
        <w:ind w:firstLine="720"/>
        <w:rPr>
          <w:rFonts w:ascii="Times New Roman" w:eastAsia="Times New Roman" w:hAnsi="Times New Roman"/>
          <w:color w:val="333333"/>
          <w:szCs w:val="24"/>
        </w:rPr>
      </w:pPr>
      <w:r w:rsidRPr="00B053FF">
        <w:rPr>
          <w:rFonts w:ascii="Times New Roman" w:eastAsia="Times New Roman" w:hAnsi="Times New Roman"/>
          <w:color w:val="000000"/>
          <w:szCs w:val="24"/>
          <w:shd w:val="clear" w:color="auto" w:fill="FFFFFF"/>
        </w:rPr>
        <w:t>While this set of developments has generated much praise and excitement among activists, advocates, members of the press and public,</w:t>
      </w:r>
      <w:r>
        <w:rPr>
          <w:rStyle w:val="FootnoteReference"/>
          <w:rFonts w:ascii="Times New Roman" w:eastAsia="Times New Roman" w:hAnsi="Times New Roman"/>
          <w:color w:val="000000"/>
          <w:szCs w:val="24"/>
          <w:shd w:val="clear" w:color="auto" w:fill="FFFFFF"/>
        </w:rPr>
        <w:footnoteReference w:id="18"/>
      </w:r>
      <w:r w:rsidRPr="00B053FF">
        <w:rPr>
          <w:rFonts w:ascii="Times New Roman" w:eastAsia="Times New Roman" w:hAnsi="Times New Roman"/>
          <w:color w:val="000000"/>
          <w:szCs w:val="24"/>
          <w:shd w:val="clear" w:color="auto" w:fill="FFFFFF"/>
        </w:rPr>
        <w:t xml:space="preserve"> as this book reveals, </w:t>
      </w:r>
      <w:r w:rsidRPr="00B053FF">
        <w:rPr>
          <w:rFonts w:ascii="Times New Roman" w:hAnsi="Times New Roman"/>
          <w:szCs w:val="24"/>
        </w:rPr>
        <w:t xml:space="preserve">optimism about the ability of </w:t>
      </w:r>
      <w:r w:rsidRPr="00B053FF">
        <w:rPr>
          <w:rFonts w:ascii="Times New Roman" w:hAnsi="Times New Roman"/>
          <w:szCs w:val="24"/>
        </w:rPr>
        <w:lastRenderedPageBreak/>
        <w:t>these reform efforts to fully rein in the power of federal drug laws may be misguided. The 1980s legal changes created the capacity and incentive for astounding growth of the federal justice system, in ways that render shrinkage very difficult. Already, a number of vested stakeholders—</w:t>
      </w:r>
      <w:r w:rsidRPr="00B053FF">
        <w:rPr>
          <w:rFonts w:ascii="Times New Roman" w:eastAsia="Times New Roman" w:hAnsi="Times New Roman"/>
          <w:color w:val="333333"/>
          <w:szCs w:val="24"/>
        </w:rPr>
        <w:t xml:space="preserve">the National Association of Assistant United States Attorneys, which represents thousands of line prosecutors in the federal system, and numerous federal, state, and local law enforcement coalitions—have counter-mobilized to protect and maintain the punitive drug laws, working with members of Congress in their efforts. </w:t>
      </w:r>
    </w:p>
    <w:p w14:paraId="0B52F7CC" w14:textId="207B1D80" w:rsidR="004E4FA4" w:rsidRPr="004E4FA4" w:rsidRDefault="004E4FA4" w:rsidP="004E4FA4">
      <w:pPr>
        <w:spacing w:line="480" w:lineRule="auto"/>
        <w:ind w:firstLine="720"/>
        <w:rPr>
          <w:rFonts w:ascii="Times New Roman" w:eastAsia="Times New Roman" w:hAnsi="Times New Roman"/>
          <w:szCs w:val="24"/>
        </w:rPr>
      </w:pPr>
      <w:r w:rsidRPr="00B053FF">
        <w:rPr>
          <w:rFonts w:ascii="Times New Roman" w:hAnsi="Times New Roman"/>
          <w:szCs w:val="24"/>
        </w:rPr>
        <w:t xml:space="preserve">Moreover, the recent reforms have largely left intact a body of substantive law whose force </w:t>
      </w:r>
      <w:r w:rsidR="009843EC">
        <w:rPr>
          <w:rFonts w:ascii="Times New Roman" w:hAnsi="Times New Roman"/>
          <w:szCs w:val="24"/>
        </w:rPr>
        <w:t xml:space="preserve">also </w:t>
      </w:r>
      <w:r w:rsidRPr="00B053FF">
        <w:rPr>
          <w:rFonts w:ascii="Times New Roman" w:hAnsi="Times New Roman"/>
          <w:szCs w:val="24"/>
        </w:rPr>
        <w:t xml:space="preserve">draws from myriad enhancements and add-ons available to prosecutors to exponentially increase potential sentences, as well as from a set of incentives (most notably for “substantial assistance” to the government) they can wield to obtain guilty pleas. So while the reform movement that is gaining momentum has much potential to make a dent in the over-production and harsh punishment of federally imprisoned drug defendants, a more comprehensive dismantling of the prosecutorial machinery responsible for that over-production is a much more </w:t>
      </w:r>
      <w:r>
        <w:rPr>
          <w:rFonts w:ascii="Times New Roman" w:hAnsi="Times New Roman"/>
          <w:szCs w:val="24"/>
        </w:rPr>
        <w:t>daunting and distant hurdle.</w:t>
      </w:r>
    </w:p>
    <w:p w14:paraId="2E277E62" w14:textId="7853AC39" w:rsidR="009843EC" w:rsidRPr="00C82B86" w:rsidRDefault="004E4FA4" w:rsidP="00A04CA2">
      <w:pPr>
        <w:spacing w:line="480" w:lineRule="auto"/>
        <w:rPr>
          <w:rFonts w:ascii="Times New Roman" w:hAnsi="Times New Roman"/>
          <w:szCs w:val="24"/>
        </w:rPr>
      </w:pPr>
      <w:r>
        <w:rPr>
          <w:rFonts w:ascii="Times New Roman" w:hAnsi="Times New Roman"/>
          <w:szCs w:val="24"/>
        </w:rPr>
        <w:t xml:space="preserve"> </w:t>
      </w:r>
    </w:p>
    <w:p w14:paraId="7FE908FD" w14:textId="48575D46" w:rsidR="00A04CA2" w:rsidRPr="00B053FF" w:rsidRDefault="00411C35" w:rsidP="00A04CA2">
      <w:pPr>
        <w:spacing w:line="480" w:lineRule="auto"/>
        <w:rPr>
          <w:rFonts w:ascii="Times New Roman" w:hAnsi="Times New Roman"/>
          <w:i/>
          <w:szCs w:val="24"/>
        </w:rPr>
      </w:pPr>
      <w:r w:rsidRPr="00B053FF">
        <w:rPr>
          <w:rFonts w:ascii="Times New Roman" w:hAnsi="Times New Roman"/>
          <w:i/>
          <w:szCs w:val="24"/>
        </w:rPr>
        <w:t>The</w:t>
      </w:r>
      <w:r w:rsidR="00A04CA2" w:rsidRPr="00B053FF">
        <w:rPr>
          <w:rFonts w:ascii="Times New Roman" w:hAnsi="Times New Roman"/>
          <w:i/>
          <w:szCs w:val="24"/>
        </w:rPr>
        <w:t xml:space="preserve"> </w:t>
      </w:r>
      <w:r w:rsidR="0013389E" w:rsidRPr="00B053FF">
        <w:rPr>
          <w:rFonts w:ascii="Times New Roman" w:hAnsi="Times New Roman"/>
          <w:i/>
          <w:szCs w:val="24"/>
        </w:rPr>
        <w:t xml:space="preserve">theoretical </w:t>
      </w:r>
      <w:r w:rsidR="00A04CA2" w:rsidRPr="00B053FF">
        <w:rPr>
          <w:rFonts w:ascii="Times New Roman" w:hAnsi="Times New Roman"/>
          <w:i/>
          <w:szCs w:val="24"/>
        </w:rPr>
        <w:t>approach</w:t>
      </w:r>
      <w:r w:rsidRPr="00B053FF">
        <w:rPr>
          <w:rFonts w:ascii="Times New Roman" w:hAnsi="Times New Roman"/>
          <w:i/>
          <w:szCs w:val="24"/>
        </w:rPr>
        <w:t xml:space="preserve"> of this book:</w:t>
      </w:r>
    </w:p>
    <w:p w14:paraId="47E73C1B" w14:textId="5AA2309A" w:rsidR="00F15CB5" w:rsidRPr="00B053FF" w:rsidRDefault="000F44FA" w:rsidP="00F15CB5">
      <w:pPr>
        <w:spacing w:line="480" w:lineRule="auto"/>
        <w:rPr>
          <w:rFonts w:ascii="Times New Roman" w:hAnsi="Times New Roman"/>
          <w:szCs w:val="24"/>
        </w:rPr>
      </w:pPr>
      <w:r w:rsidRPr="00B053FF">
        <w:rPr>
          <w:rFonts w:ascii="Times New Roman" w:eastAsia="Cambria" w:hAnsi="Times New Roman"/>
          <w:szCs w:val="24"/>
        </w:rPr>
        <w:tab/>
      </w:r>
      <w:r w:rsidR="00F15CB5" w:rsidRPr="00B053FF">
        <w:rPr>
          <w:rFonts w:ascii="Times New Roman" w:eastAsia="Cambria" w:hAnsi="Times New Roman"/>
          <w:szCs w:val="24"/>
        </w:rPr>
        <w:t xml:space="preserve">My </w:t>
      </w:r>
      <w:r w:rsidR="00B44DDD" w:rsidRPr="00B053FF">
        <w:rPr>
          <w:rFonts w:ascii="Times New Roman" w:eastAsia="Cambria" w:hAnsi="Times New Roman"/>
          <w:szCs w:val="24"/>
        </w:rPr>
        <w:t xml:space="preserve">analytic </w:t>
      </w:r>
      <w:r w:rsidR="00F15CB5" w:rsidRPr="00B053FF">
        <w:rPr>
          <w:rFonts w:ascii="Times New Roman" w:eastAsia="Cambria" w:hAnsi="Times New Roman"/>
          <w:szCs w:val="24"/>
        </w:rPr>
        <w:t>goal</w:t>
      </w:r>
      <w:r w:rsidR="00C82B86">
        <w:rPr>
          <w:rFonts w:ascii="Times New Roman" w:eastAsia="Cambria" w:hAnsi="Times New Roman"/>
          <w:szCs w:val="24"/>
        </w:rPr>
        <w:t xml:space="preserve"> with this book</w:t>
      </w:r>
      <w:r w:rsidR="00F15CB5" w:rsidRPr="00B053FF">
        <w:rPr>
          <w:rFonts w:ascii="Times New Roman" w:eastAsia="Cambria" w:hAnsi="Times New Roman"/>
          <w:szCs w:val="24"/>
        </w:rPr>
        <w:t xml:space="preserve"> is to add</w:t>
      </w:r>
      <w:r w:rsidRPr="00B053FF">
        <w:rPr>
          <w:rFonts w:ascii="Times New Roman" w:eastAsia="Cambria" w:hAnsi="Times New Roman"/>
          <w:szCs w:val="24"/>
        </w:rPr>
        <w:t xml:space="preserve"> critical new insights to the relatively well-traveled (albeit fascinating) terrain of the federal drug war by pivoting away from standard methodological approaches, substantive foci, and theoretical frameworks. </w:t>
      </w:r>
      <w:r w:rsidRPr="00B053FF">
        <w:rPr>
          <w:rFonts w:ascii="Times New Roman" w:hAnsi="Times New Roman"/>
          <w:szCs w:val="24"/>
        </w:rPr>
        <w:t xml:space="preserve">I break new theoretical ground by moving away from the macro-level frameworks (derived especially from sociology and political </w:t>
      </w:r>
      <w:r w:rsidR="00EE6B13">
        <w:rPr>
          <w:rFonts w:ascii="Times New Roman" w:hAnsi="Times New Roman"/>
          <w:szCs w:val="24"/>
        </w:rPr>
        <w:t>science) that dominate analyses</w:t>
      </w:r>
      <w:r w:rsidRPr="00B053FF">
        <w:rPr>
          <w:rFonts w:ascii="Times New Roman" w:hAnsi="Times New Roman"/>
          <w:szCs w:val="24"/>
        </w:rPr>
        <w:t xml:space="preserve"> to conceptualize local federal courts as living institutions, peopled by “situated actors” who occupy distinct roles and who are compelled or </w:t>
      </w:r>
      <w:r w:rsidRPr="00B053FF">
        <w:rPr>
          <w:rFonts w:ascii="Times New Roman" w:hAnsi="Times New Roman"/>
          <w:szCs w:val="24"/>
        </w:rPr>
        <w:lastRenderedPageBreak/>
        <w:t>constrained by role-specific rules</w:t>
      </w:r>
      <w:r w:rsidR="006D1767">
        <w:rPr>
          <w:rFonts w:ascii="Times New Roman" w:hAnsi="Times New Roman"/>
          <w:szCs w:val="24"/>
        </w:rPr>
        <w:t>, parameters, and norms</w:t>
      </w:r>
      <w:r w:rsidRPr="00B053FF">
        <w:rPr>
          <w:rFonts w:ascii="Times New Roman" w:hAnsi="Times New Roman"/>
          <w:szCs w:val="24"/>
        </w:rPr>
        <w:t>. I center organizational actors—embodied in their roles and operating in distinct organizational “fields”</w:t>
      </w:r>
      <w:r w:rsidR="006D1767">
        <w:rPr>
          <w:rStyle w:val="FootnoteReference"/>
          <w:rFonts w:ascii="Times New Roman" w:hAnsi="Times New Roman"/>
          <w:szCs w:val="24"/>
        </w:rPr>
        <w:footnoteReference w:id="19"/>
      </w:r>
      <w:r w:rsidRPr="00B053FF">
        <w:rPr>
          <w:rFonts w:ascii="Times New Roman" w:hAnsi="Times New Roman"/>
          <w:szCs w:val="24"/>
        </w:rPr>
        <w:t xml:space="preserve"> in the analysis as variable and complex drivers of organizational behavior. </w:t>
      </w:r>
    </w:p>
    <w:p w14:paraId="340E1D90" w14:textId="29B90B1C" w:rsidR="00AA4EF9" w:rsidRPr="00AA4EF9" w:rsidRDefault="000175F5" w:rsidP="00AA4EF9">
      <w:pPr>
        <w:pStyle w:val="PlainText"/>
        <w:spacing w:line="480" w:lineRule="auto"/>
        <w:rPr>
          <w:rFonts w:ascii="Times New Roman" w:hAnsi="Times New Roman"/>
          <w:sz w:val="24"/>
          <w:szCs w:val="24"/>
        </w:rPr>
      </w:pPr>
      <w:r w:rsidRPr="00B053FF">
        <w:rPr>
          <w:rFonts w:ascii="Times New Roman" w:hAnsi="Times New Roman"/>
          <w:sz w:val="24"/>
          <w:szCs w:val="24"/>
        </w:rPr>
        <w:tab/>
      </w:r>
      <w:r w:rsidR="00C82B86">
        <w:rPr>
          <w:rFonts w:ascii="Times New Roman" w:hAnsi="Times New Roman"/>
          <w:sz w:val="24"/>
          <w:szCs w:val="24"/>
        </w:rPr>
        <w:t>I also</w:t>
      </w:r>
      <w:r w:rsidR="00AA4EF9">
        <w:rPr>
          <w:rFonts w:ascii="Times New Roman" w:hAnsi="Times New Roman"/>
          <w:sz w:val="24"/>
          <w:szCs w:val="24"/>
        </w:rPr>
        <w:t xml:space="preserve"> aim to tease out</w:t>
      </w:r>
      <w:r w:rsidR="00AA4EF9" w:rsidRPr="00B053FF">
        <w:rPr>
          <w:rFonts w:ascii="Times New Roman" w:hAnsi="Times New Roman"/>
          <w:sz w:val="24"/>
          <w:szCs w:val="24"/>
        </w:rPr>
        <w:t xml:space="preserve"> </w:t>
      </w:r>
      <w:r w:rsidR="00AA4EF9">
        <w:rPr>
          <w:rFonts w:ascii="Times New Roman" w:hAnsi="Times New Roman"/>
          <w:sz w:val="24"/>
          <w:szCs w:val="24"/>
        </w:rPr>
        <w:t xml:space="preserve">how </w:t>
      </w:r>
      <w:r w:rsidR="00AA4EF9" w:rsidRPr="00B053FF">
        <w:rPr>
          <w:rFonts w:ascii="Times New Roman" w:hAnsi="Times New Roman"/>
          <w:sz w:val="24"/>
          <w:szCs w:val="24"/>
        </w:rPr>
        <w:t>the mechanics of le</w:t>
      </w:r>
      <w:r w:rsidR="00AA4EF9">
        <w:rPr>
          <w:rFonts w:ascii="Times New Roman" w:hAnsi="Times New Roman"/>
          <w:sz w:val="24"/>
          <w:szCs w:val="24"/>
        </w:rPr>
        <w:t>gal power work in this setting</w:t>
      </w:r>
      <w:r w:rsidR="00C00131">
        <w:rPr>
          <w:rFonts w:ascii="Times New Roman" w:hAnsi="Times New Roman"/>
          <w:sz w:val="24"/>
          <w:szCs w:val="24"/>
        </w:rPr>
        <w:t>. T</w:t>
      </w:r>
      <w:r w:rsidR="00AA4EF9" w:rsidRPr="00AA4EF9">
        <w:rPr>
          <w:rFonts w:ascii="Times New Roman" w:hAnsi="Times New Roman"/>
          <w:sz w:val="24"/>
          <w:szCs w:val="24"/>
        </w:rPr>
        <w:t>he deployment of criminal law is among the most obvious, explicit, and extreme exercises of power in modern democratic societies, in that it is openly wielded to dominate, coerce, and control. It is also constitutes a form of “transversal” power struggle</w:t>
      </w:r>
      <w:r w:rsidR="00AA4EF9" w:rsidRPr="00AA4EF9">
        <w:rPr>
          <w:rStyle w:val="FootnoteReference"/>
          <w:rFonts w:ascii="Times New Roman" w:hAnsi="Times New Roman"/>
          <w:sz w:val="24"/>
          <w:szCs w:val="24"/>
        </w:rPr>
        <w:footnoteReference w:id="20"/>
      </w:r>
      <w:r w:rsidR="00C50DA7">
        <w:rPr>
          <w:rFonts w:ascii="Times New Roman" w:hAnsi="Times New Roman"/>
          <w:sz w:val="24"/>
          <w:szCs w:val="24"/>
        </w:rPr>
        <w:t xml:space="preserve"> that cuts across jurisdictions:</w:t>
      </w:r>
      <w:r w:rsidR="00AA4EF9" w:rsidRPr="00AA4EF9">
        <w:rPr>
          <w:rFonts w:ascii="Times New Roman" w:hAnsi="Times New Roman"/>
          <w:sz w:val="24"/>
          <w:szCs w:val="24"/>
        </w:rPr>
        <w:t xml:space="preserve"> How we define crime, how laws are written, how they are deployed and against whom, and how they are resisted helps </w:t>
      </w:r>
      <w:r w:rsidR="00AA4EF9">
        <w:rPr>
          <w:rFonts w:ascii="Times New Roman" w:hAnsi="Times New Roman"/>
          <w:sz w:val="24"/>
          <w:szCs w:val="24"/>
        </w:rPr>
        <w:t xml:space="preserve">us </w:t>
      </w:r>
      <w:r w:rsidR="00AA4EF9" w:rsidRPr="00AA4EF9">
        <w:rPr>
          <w:rFonts w:ascii="Times New Roman" w:hAnsi="Times New Roman"/>
          <w:sz w:val="24"/>
          <w:szCs w:val="24"/>
        </w:rPr>
        <w:t>answer the fundamental question</w:t>
      </w:r>
      <w:r w:rsidR="00AA4EF9">
        <w:rPr>
          <w:rFonts w:ascii="Times New Roman" w:hAnsi="Times New Roman"/>
          <w:sz w:val="24"/>
          <w:szCs w:val="24"/>
        </w:rPr>
        <w:t>s</w:t>
      </w:r>
      <w:r w:rsidR="00AA4EF9" w:rsidRPr="00AA4EF9">
        <w:rPr>
          <w:rFonts w:ascii="Times New Roman" w:hAnsi="Times New Roman"/>
          <w:sz w:val="24"/>
          <w:szCs w:val="24"/>
        </w:rPr>
        <w:t xml:space="preserve"> </w:t>
      </w:r>
      <w:r w:rsidR="00AA4EF9">
        <w:rPr>
          <w:rFonts w:ascii="Times New Roman" w:hAnsi="Times New Roman"/>
          <w:sz w:val="24"/>
          <w:szCs w:val="24"/>
        </w:rPr>
        <w:t>about</w:t>
      </w:r>
      <w:r w:rsidR="00AA4EF9" w:rsidRPr="00AA4EF9">
        <w:rPr>
          <w:rFonts w:ascii="Times New Roman" w:hAnsi="Times New Roman"/>
          <w:sz w:val="24"/>
          <w:szCs w:val="24"/>
        </w:rPr>
        <w:t xml:space="preserve"> who we are as a social entity.</w:t>
      </w:r>
      <w:r w:rsidR="00AA4EF9" w:rsidRPr="00AA4EF9">
        <w:rPr>
          <w:rStyle w:val="FootnoteReference"/>
          <w:rFonts w:ascii="Times New Roman" w:hAnsi="Times New Roman"/>
          <w:sz w:val="24"/>
          <w:szCs w:val="24"/>
        </w:rPr>
        <w:footnoteReference w:id="21"/>
      </w:r>
      <w:r w:rsidR="00AA4EF9" w:rsidRPr="00AA4EF9">
        <w:rPr>
          <w:rFonts w:ascii="Times New Roman" w:hAnsi="Times New Roman"/>
          <w:sz w:val="24"/>
          <w:szCs w:val="24"/>
        </w:rPr>
        <w:t xml:space="preserve"> </w:t>
      </w:r>
      <w:r w:rsidR="002B5304">
        <w:rPr>
          <w:rFonts w:ascii="Times New Roman" w:hAnsi="Times New Roman"/>
          <w:sz w:val="24"/>
          <w:szCs w:val="24"/>
        </w:rPr>
        <w:t xml:space="preserve"> As such, the form and content of the power at play in this story may seem to need no further explanation. Nonetheless, power is </w:t>
      </w:r>
      <w:r w:rsidR="002B5304" w:rsidRPr="00AA4EF9">
        <w:rPr>
          <w:rFonts w:ascii="Times New Roman" w:hAnsi="Times New Roman"/>
          <w:sz w:val="24"/>
          <w:szCs w:val="24"/>
        </w:rPr>
        <w:t>a relatively contested, seemingly “pliable”</w:t>
      </w:r>
      <w:r w:rsidR="002B5304" w:rsidRPr="00AA4EF9">
        <w:rPr>
          <w:rStyle w:val="FootnoteReference"/>
          <w:rFonts w:ascii="Times New Roman" w:hAnsi="Times New Roman"/>
          <w:sz w:val="24"/>
          <w:szCs w:val="24"/>
        </w:rPr>
        <w:footnoteReference w:id="22"/>
      </w:r>
      <w:r w:rsidR="002B5304" w:rsidRPr="00AA4EF9">
        <w:rPr>
          <w:rFonts w:ascii="Times New Roman" w:hAnsi="Times New Roman"/>
          <w:sz w:val="24"/>
          <w:szCs w:val="24"/>
        </w:rPr>
        <w:t xml:space="preserve"> and amorphous concept</w:t>
      </w:r>
      <w:r w:rsidR="002B5304">
        <w:rPr>
          <w:rFonts w:ascii="Times New Roman" w:hAnsi="Times New Roman"/>
          <w:sz w:val="24"/>
          <w:szCs w:val="24"/>
        </w:rPr>
        <w:t xml:space="preserve"> in social science, </w:t>
      </w:r>
      <w:r w:rsidR="00C00131">
        <w:rPr>
          <w:rFonts w:ascii="Times New Roman" w:hAnsi="Times New Roman"/>
          <w:sz w:val="24"/>
          <w:szCs w:val="24"/>
        </w:rPr>
        <w:t xml:space="preserve">so </w:t>
      </w:r>
      <w:r w:rsidR="002B5304">
        <w:rPr>
          <w:rFonts w:ascii="Times New Roman" w:hAnsi="Times New Roman"/>
          <w:sz w:val="24"/>
          <w:szCs w:val="24"/>
        </w:rPr>
        <w:t>a brief explication of how I conceive of power is in order</w:t>
      </w:r>
      <w:r w:rsidR="002B5304" w:rsidRPr="00AA4EF9">
        <w:rPr>
          <w:rFonts w:ascii="Times New Roman" w:hAnsi="Times New Roman"/>
          <w:sz w:val="24"/>
          <w:szCs w:val="24"/>
        </w:rPr>
        <w:t>.</w:t>
      </w:r>
    </w:p>
    <w:p w14:paraId="1C90DBCE" w14:textId="77777777" w:rsidR="00AA4EF9" w:rsidRPr="00B053FF" w:rsidRDefault="00AA4EF9" w:rsidP="00AA4EF9">
      <w:pPr>
        <w:spacing w:line="480" w:lineRule="auto"/>
        <w:ind w:firstLine="720"/>
        <w:rPr>
          <w:rFonts w:ascii="Times New Roman" w:hAnsi="Times New Roman"/>
          <w:szCs w:val="24"/>
        </w:rPr>
      </w:pPr>
      <w:r>
        <w:rPr>
          <w:rFonts w:ascii="Times New Roman" w:hAnsi="Times New Roman"/>
          <w:szCs w:val="24"/>
        </w:rPr>
        <w:t xml:space="preserve">Sociologist </w:t>
      </w:r>
      <w:r w:rsidRPr="00B053FF">
        <w:rPr>
          <w:rFonts w:ascii="Times New Roman" w:hAnsi="Times New Roman"/>
          <w:szCs w:val="24"/>
        </w:rPr>
        <w:t>Steven Lukes provides an apt starting point for thinking about power’s relationship to social life, suggesting that “social life can only be properly understood as an interplay of power and structure, a web of possibilities for agents, whose natur</w:t>
      </w:r>
      <w:r>
        <w:rPr>
          <w:rFonts w:ascii="Times New Roman" w:hAnsi="Times New Roman"/>
          <w:szCs w:val="24"/>
        </w:rPr>
        <w:t>e is both active and structured.</w:t>
      </w:r>
      <w:r w:rsidRPr="00B053FF">
        <w:rPr>
          <w:rFonts w:ascii="Times New Roman" w:hAnsi="Times New Roman"/>
          <w:szCs w:val="24"/>
        </w:rPr>
        <w:t>”</w:t>
      </w:r>
      <w:r>
        <w:rPr>
          <w:rStyle w:val="FootnoteReference"/>
          <w:rFonts w:ascii="Times New Roman" w:hAnsi="Times New Roman"/>
          <w:szCs w:val="24"/>
        </w:rPr>
        <w:footnoteReference w:id="23"/>
      </w:r>
      <w:r w:rsidRPr="00B053FF">
        <w:rPr>
          <w:rFonts w:ascii="Times New Roman" w:hAnsi="Times New Roman"/>
          <w:szCs w:val="24"/>
        </w:rPr>
        <w:t xml:space="preserve"> The “web of possibilities” are vast in contemporary federal criminal law, and the “agents,” especially members of law enforcement and prosecutors, are given roles that are imbued with enormous potential to compel submission to the legal system by those suspected of committing crimes. Yet the exercise of such legal power is always selective. The analytic </w:t>
      </w:r>
      <w:r w:rsidRPr="00B053FF">
        <w:rPr>
          <w:rFonts w:ascii="Times New Roman" w:hAnsi="Times New Roman"/>
          <w:szCs w:val="24"/>
        </w:rPr>
        <w:lastRenderedPageBreak/>
        <w:t xml:space="preserve">question here, then, is not whether power is in play, but rather why is it in play in the shape that it takes at any given time and place? </w:t>
      </w:r>
    </w:p>
    <w:p w14:paraId="7C4D340A" w14:textId="126D7FF6" w:rsidR="00AA4EF9" w:rsidRPr="00B053FF" w:rsidRDefault="00AA4EF9" w:rsidP="00C82B86">
      <w:pPr>
        <w:widowControl w:val="0"/>
        <w:autoSpaceDE w:val="0"/>
        <w:autoSpaceDN w:val="0"/>
        <w:adjustRightInd w:val="0"/>
        <w:spacing w:line="480" w:lineRule="auto"/>
        <w:ind w:right="-180" w:firstLine="720"/>
        <w:rPr>
          <w:rFonts w:ascii="Times New Roman" w:hAnsi="Times New Roman"/>
          <w:szCs w:val="24"/>
        </w:rPr>
      </w:pPr>
      <w:r w:rsidRPr="00B053FF">
        <w:rPr>
          <w:rFonts w:ascii="Times New Roman" w:hAnsi="Times New Roman"/>
          <w:szCs w:val="24"/>
        </w:rPr>
        <w:t>In order to address this question, I first distinguish between the capacities or potentialities of power and power’s realization. In this conceptualization, resources—whether material, like goods and currency</w:t>
      </w:r>
      <w:r w:rsidR="003B3392">
        <w:rPr>
          <w:rFonts w:ascii="Times New Roman" w:hAnsi="Times New Roman"/>
          <w:szCs w:val="24"/>
        </w:rPr>
        <w:t>;</w:t>
      </w:r>
      <w:r w:rsidRPr="00B053FF">
        <w:rPr>
          <w:rFonts w:ascii="Times New Roman" w:hAnsi="Times New Roman"/>
          <w:szCs w:val="24"/>
        </w:rPr>
        <w:t xml:space="preserve"> designations to official roles and positions, such as judge or prosecutor</w:t>
      </w:r>
      <w:r w:rsidR="003B3392">
        <w:rPr>
          <w:rFonts w:ascii="Times New Roman" w:hAnsi="Times New Roman"/>
          <w:szCs w:val="24"/>
        </w:rPr>
        <w:t>;</w:t>
      </w:r>
      <w:r w:rsidRPr="00B053FF">
        <w:rPr>
          <w:rFonts w:ascii="Times New Roman" w:hAnsi="Times New Roman"/>
          <w:szCs w:val="24"/>
        </w:rPr>
        <w:t xml:space="preserve"> or decrees, such as codified laws—function as potential but can never in themselves be realized as power without human involvement. Thus, in this case, even the most draconian laws on the books do not begin to realize their potential until they are utilized symbolically (perhaps through broadcasting to send a moral message or warning) or literally (i.e., as the basis of criminal charges). So the law as legislated and enacted is best understood as potential, rather than realized power.</w:t>
      </w:r>
      <w:r w:rsidR="00C82B86">
        <w:rPr>
          <w:rStyle w:val="FootnoteReference"/>
          <w:rFonts w:ascii="Times New Roman" w:hAnsi="Times New Roman"/>
          <w:szCs w:val="24"/>
        </w:rPr>
        <w:footnoteReference w:id="24"/>
      </w:r>
      <w:r w:rsidRPr="00B053FF">
        <w:rPr>
          <w:rFonts w:ascii="Times New Roman" w:hAnsi="Times New Roman"/>
          <w:szCs w:val="24"/>
        </w:rPr>
        <w:t xml:space="preserve"> </w:t>
      </w:r>
    </w:p>
    <w:p w14:paraId="38D26B67" w14:textId="77777777" w:rsidR="00AA4EF9" w:rsidRPr="00B053FF" w:rsidRDefault="00AA4EF9" w:rsidP="00AA4EF9">
      <w:pPr>
        <w:widowControl w:val="0"/>
        <w:autoSpaceDE w:val="0"/>
        <w:autoSpaceDN w:val="0"/>
        <w:adjustRightInd w:val="0"/>
        <w:spacing w:line="480" w:lineRule="auto"/>
        <w:ind w:firstLine="720"/>
        <w:rPr>
          <w:rFonts w:ascii="Times New Roman" w:eastAsiaTheme="minorEastAsia" w:hAnsi="Times New Roman"/>
          <w:szCs w:val="24"/>
          <w:lang w:eastAsia="ja-JP"/>
        </w:rPr>
      </w:pPr>
      <w:r w:rsidRPr="00B053FF">
        <w:rPr>
          <w:rFonts w:ascii="Times New Roman" w:hAnsi="Times New Roman"/>
          <w:szCs w:val="24"/>
        </w:rPr>
        <w:t>Second, I begin with the assumption that power “brings into play relations between individuals (or between groups)”</w:t>
      </w:r>
      <w:r>
        <w:rPr>
          <w:rStyle w:val="FootnoteReference"/>
          <w:rFonts w:ascii="Times New Roman" w:hAnsi="Times New Roman"/>
          <w:szCs w:val="24"/>
        </w:rPr>
        <w:footnoteReference w:id="25"/>
      </w:r>
      <w:r w:rsidRPr="00B053FF">
        <w:rPr>
          <w:rFonts w:ascii="Times New Roman" w:hAnsi="Times New Roman"/>
          <w:szCs w:val="24"/>
        </w:rPr>
        <w:t xml:space="preserve"> so </w:t>
      </w:r>
      <w:r>
        <w:rPr>
          <w:rFonts w:ascii="Times New Roman" w:hAnsi="Times New Roman"/>
          <w:szCs w:val="24"/>
        </w:rPr>
        <w:t>its</w:t>
      </w:r>
      <w:r w:rsidRPr="00B053FF">
        <w:rPr>
          <w:rFonts w:ascii="Times New Roman" w:hAnsi="Times New Roman"/>
          <w:szCs w:val="24"/>
        </w:rPr>
        <w:t xml:space="preserve"> realization is impossible outside of human interaction. Moreover, power relations are not reduc</w:t>
      </w:r>
      <w:r>
        <w:rPr>
          <w:rFonts w:ascii="Times New Roman" w:hAnsi="Times New Roman"/>
          <w:szCs w:val="24"/>
        </w:rPr>
        <w:t>e</w:t>
      </w:r>
      <w:r w:rsidRPr="00B053FF">
        <w:rPr>
          <w:rFonts w:ascii="Times New Roman" w:hAnsi="Times New Roman"/>
          <w:szCs w:val="24"/>
        </w:rPr>
        <w:t xml:space="preserve">able to discrete events that can be cleanly bracketed as instances of power. Rather, power relations constitute the lifeblood of sociality: ever-present, in motion, and waxing and waning as a function of the specificities of time, place, people, and context. Therefore, </w:t>
      </w:r>
      <w:r>
        <w:rPr>
          <w:rFonts w:ascii="Times New Roman" w:hAnsi="Times New Roman"/>
          <w:szCs w:val="24"/>
        </w:rPr>
        <w:t xml:space="preserve">as Mariana Valverde has argued, </w:t>
      </w:r>
      <w:r w:rsidRPr="00B053FF">
        <w:rPr>
          <w:rFonts w:ascii="Times New Roman" w:hAnsi="Times New Roman"/>
          <w:szCs w:val="24"/>
        </w:rPr>
        <w:t>given the fundamental and ubiquitous nature of power, empirical examinations should “</w:t>
      </w:r>
      <w:r w:rsidRPr="00B053FF">
        <w:rPr>
          <w:rFonts w:ascii="Times New Roman" w:eastAsiaTheme="minorEastAsia" w:hAnsi="Times New Roman"/>
          <w:szCs w:val="24"/>
          <w:lang w:eastAsia="ja-JP"/>
        </w:rPr>
        <w:t>investigate how power relations work in a particular setting. Power exists everywhere, but its workings cannot be predicted from a scientific model.”</w:t>
      </w:r>
      <w:r>
        <w:rPr>
          <w:rStyle w:val="FootnoteReference"/>
          <w:rFonts w:ascii="Times New Roman" w:eastAsiaTheme="minorEastAsia" w:hAnsi="Times New Roman"/>
          <w:szCs w:val="24"/>
          <w:lang w:eastAsia="ja-JP"/>
        </w:rPr>
        <w:footnoteReference w:id="26"/>
      </w:r>
      <w:r w:rsidRPr="00B053FF">
        <w:rPr>
          <w:rFonts w:ascii="Times New Roman" w:eastAsiaTheme="minorEastAsia" w:hAnsi="Times New Roman"/>
          <w:szCs w:val="24"/>
          <w:lang w:eastAsia="ja-JP"/>
        </w:rPr>
        <w:t xml:space="preserve"> </w:t>
      </w:r>
    </w:p>
    <w:p w14:paraId="7B6F2D59" w14:textId="77777777" w:rsidR="00AA4EF9" w:rsidRPr="00B053FF" w:rsidRDefault="00AA4EF9" w:rsidP="00AA4EF9">
      <w:pPr>
        <w:widowControl w:val="0"/>
        <w:autoSpaceDE w:val="0"/>
        <w:autoSpaceDN w:val="0"/>
        <w:adjustRightInd w:val="0"/>
        <w:spacing w:line="480" w:lineRule="auto"/>
        <w:ind w:firstLine="720"/>
        <w:rPr>
          <w:rFonts w:ascii="Times New Roman" w:hAnsi="Times New Roman"/>
          <w:szCs w:val="24"/>
        </w:rPr>
      </w:pPr>
      <w:r w:rsidRPr="00B053FF">
        <w:rPr>
          <w:rFonts w:ascii="Times New Roman" w:hAnsi="Times New Roman"/>
          <w:szCs w:val="24"/>
        </w:rPr>
        <w:t xml:space="preserve">Third, because of the nature of power as a social phenomenon, both stasis and equilibrium are unsustainable. Quests for optimal power relationships (like pure equality), distributions of resources, or conferrals of authority will always be quests, since no state of such relations will </w:t>
      </w:r>
      <w:r w:rsidRPr="00B053FF">
        <w:rPr>
          <w:rFonts w:ascii="Times New Roman" w:hAnsi="Times New Roman"/>
          <w:szCs w:val="24"/>
        </w:rPr>
        <w:lastRenderedPageBreak/>
        <w:t>ever be eternally static. In addition, agents in power relations are often engaged in multiple simultaneous relations, which means that even in a closed and insular field, destabilization can occur through the disruption of tangential power struggles</w:t>
      </w:r>
      <w:r>
        <w:rPr>
          <w:rFonts w:ascii="Times New Roman" w:hAnsi="Times New Roman"/>
          <w:szCs w:val="24"/>
        </w:rPr>
        <w:t>.</w:t>
      </w:r>
      <w:r>
        <w:rPr>
          <w:rStyle w:val="FootnoteReference"/>
          <w:rFonts w:ascii="Times New Roman" w:hAnsi="Times New Roman"/>
          <w:szCs w:val="24"/>
        </w:rPr>
        <w:footnoteReference w:id="27"/>
      </w:r>
      <w:r>
        <w:rPr>
          <w:rFonts w:ascii="Times New Roman" w:hAnsi="Times New Roman"/>
          <w:szCs w:val="24"/>
        </w:rPr>
        <w:t xml:space="preserve"> </w:t>
      </w:r>
      <w:r w:rsidRPr="00B053FF">
        <w:rPr>
          <w:rFonts w:ascii="Times New Roman" w:hAnsi="Times New Roman"/>
          <w:szCs w:val="24"/>
        </w:rPr>
        <w:t xml:space="preserve">One practical effect of this is that interventions and reforms must always be expected to spawn new configurations of power, which themselves will move and shift the landscape. Nonetheless, time and repetition can and do solidify particular configurations of power relations, leading toward inertia and rendering destabilization much more difficult. </w:t>
      </w:r>
    </w:p>
    <w:p w14:paraId="732BB4DA" w14:textId="5B4223EB" w:rsidR="00AA4EF9" w:rsidRPr="00B053FF" w:rsidRDefault="00AA4EF9" w:rsidP="00AA4EF9">
      <w:pPr>
        <w:widowControl w:val="0"/>
        <w:autoSpaceDE w:val="0"/>
        <w:autoSpaceDN w:val="0"/>
        <w:adjustRightInd w:val="0"/>
        <w:spacing w:line="480" w:lineRule="auto"/>
        <w:rPr>
          <w:rFonts w:ascii="Times New Roman" w:hAnsi="Times New Roman"/>
          <w:szCs w:val="24"/>
        </w:rPr>
      </w:pPr>
      <w:r w:rsidRPr="00B053FF">
        <w:rPr>
          <w:rFonts w:ascii="Times New Roman" w:hAnsi="Times New Roman"/>
          <w:szCs w:val="24"/>
        </w:rPr>
        <w:tab/>
        <w:t xml:space="preserve">Inherent in my notion of power is </w:t>
      </w:r>
      <w:r w:rsidRPr="00B053FF">
        <w:rPr>
          <w:rFonts w:ascii="Times New Roman" w:hAnsi="Times New Roman"/>
          <w:i/>
          <w:szCs w:val="24"/>
        </w:rPr>
        <w:t>culture</w:t>
      </w:r>
      <w:r w:rsidRPr="00B053FF">
        <w:rPr>
          <w:rFonts w:ascii="Times New Roman" w:hAnsi="Times New Roman"/>
          <w:szCs w:val="24"/>
        </w:rPr>
        <w:t xml:space="preserve">, another contested and pliable concept in </w:t>
      </w:r>
      <w:r w:rsidR="00FD7461">
        <w:rPr>
          <w:rFonts w:ascii="Times New Roman" w:hAnsi="Times New Roman"/>
          <w:szCs w:val="24"/>
        </w:rPr>
        <w:t xml:space="preserve">the </w:t>
      </w:r>
      <w:r w:rsidRPr="00B053FF">
        <w:rPr>
          <w:rFonts w:ascii="Times New Roman" w:hAnsi="Times New Roman"/>
          <w:szCs w:val="24"/>
        </w:rPr>
        <w:t>social science</w:t>
      </w:r>
      <w:r w:rsidR="00FD7461">
        <w:rPr>
          <w:rFonts w:ascii="Times New Roman" w:hAnsi="Times New Roman"/>
          <w:szCs w:val="24"/>
        </w:rPr>
        <w:t>s</w:t>
      </w:r>
      <w:r w:rsidRPr="00B053FF">
        <w:rPr>
          <w:rFonts w:ascii="Times New Roman" w:hAnsi="Times New Roman"/>
          <w:szCs w:val="24"/>
        </w:rPr>
        <w:t xml:space="preserve">. A commitment to examining contextualized and particularized sites of power relations means taking seriously how those occupying the sites understand them and operate within them. What are the conceived possibilities of opportunities and action? What logics and strategies are productive, counter-productive, acceptable or unacceptable in the context? How do particular structural constraints, role demands, and positions within the site impinge upon or catalyze social relations and action? Where do actors look for solutions to conflicts and dilemmas? </w:t>
      </w:r>
    </w:p>
    <w:p w14:paraId="6EC60368" w14:textId="77777777" w:rsidR="00AA4EF9" w:rsidRPr="00B053FF" w:rsidRDefault="00AA4EF9" w:rsidP="00AA4EF9">
      <w:pPr>
        <w:widowControl w:val="0"/>
        <w:autoSpaceDE w:val="0"/>
        <w:autoSpaceDN w:val="0"/>
        <w:adjustRightInd w:val="0"/>
        <w:spacing w:line="480" w:lineRule="auto"/>
        <w:ind w:firstLine="720"/>
        <w:rPr>
          <w:rFonts w:ascii="Times New Roman" w:eastAsiaTheme="minorEastAsia" w:hAnsi="Times New Roman"/>
          <w:szCs w:val="24"/>
          <w:lang w:eastAsia="ja-JP"/>
        </w:rPr>
      </w:pPr>
      <w:r w:rsidRPr="00B053FF">
        <w:rPr>
          <w:rFonts w:ascii="Times New Roman" w:hAnsi="Times New Roman"/>
          <w:szCs w:val="24"/>
        </w:rPr>
        <w:t>I conceive of culture in this examination as the site-specific articulation of responses to these questions, borrowing in part from</w:t>
      </w:r>
      <w:r>
        <w:rPr>
          <w:rFonts w:ascii="Times New Roman" w:hAnsi="Times New Roman"/>
          <w:szCs w:val="24"/>
        </w:rPr>
        <w:t xml:space="preserve"> sociologist Ann</w:t>
      </w:r>
      <w:r w:rsidRPr="00B053FF">
        <w:rPr>
          <w:rFonts w:ascii="Times New Roman" w:hAnsi="Times New Roman"/>
          <w:szCs w:val="24"/>
        </w:rPr>
        <w:t xml:space="preserve"> </w:t>
      </w:r>
      <w:r w:rsidRPr="00B053FF">
        <w:rPr>
          <w:rFonts w:ascii="Times New Roman" w:eastAsiaTheme="minorEastAsia" w:hAnsi="Times New Roman"/>
          <w:szCs w:val="24"/>
          <w:lang w:eastAsia="ja-JP"/>
        </w:rPr>
        <w:t>Swidler’s conception that culture is “a ‘toolkit’ of symbols, stories, rituals, and worldviews, which people may use in varying configurations to solve different kinds of problems.”</w:t>
      </w:r>
      <w:r>
        <w:rPr>
          <w:rStyle w:val="FootnoteReference"/>
          <w:rFonts w:ascii="Times New Roman" w:eastAsiaTheme="minorEastAsia" w:hAnsi="Times New Roman"/>
          <w:szCs w:val="24"/>
          <w:lang w:eastAsia="ja-JP"/>
        </w:rPr>
        <w:footnoteReference w:id="28"/>
      </w:r>
      <w:r w:rsidRPr="00B053FF">
        <w:rPr>
          <w:rFonts w:ascii="Times New Roman" w:eastAsiaTheme="minorEastAsia" w:hAnsi="Times New Roman"/>
          <w:szCs w:val="24"/>
          <w:lang w:eastAsia="ja-JP"/>
        </w:rPr>
        <w:t xml:space="preserve"> The cultural toolkit helps construct the parameters and boundaries within which actors make decisions, define problems, and devise plans of action. Culture, then, provides the meat of meaning-making in a given setting, and helps shape the universe of possibility within which actors operate.</w:t>
      </w:r>
    </w:p>
    <w:p w14:paraId="3D7DA27E" w14:textId="6B032345" w:rsidR="00AA4EF9" w:rsidRPr="00B053FF" w:rsidRDefault="00AA4EF9" w:rsidP="00AA4EF9">
      <w:pPr>
        <w:widowControl w:val="0"/>
        <w:autoSpaceDE w:val="0"/>
        <w:autoSpaceDN w:val="0"/>
        <w:adjustRightInd w:val="0"/>
        <w:spacing w:line="480" w:lineRule="auto"/>
        <w:ind w:firstLine="720"/>
        <w:rPr>
          <w:rFonts w:ascii="Times New Roman" w:eastAsiaTheme="minorEastAsia" w:hAnsi="Times New Roman"/>
          <w:szCs w:val="24"/>
          <w:lang w:eastAsia="ja-JP"/>
        </w:rPr>
      </w:pPr>
      <w:r w:rsidRPr="00B053FF">
        <w:rPr>
          <w:rFonts w:ascii="Times New Roman" w:eastAsiaTheme="minorEastAsia" w:hAnsi="Times New Roman"/>
          <w:szCs w:val="24"/>
          <w:lang w:eastAsia="ja-JP"/>
        </w:rPr>
        <w:lastRenderedPageBreak/>
        <w:t xml:space="preserve">Culture implicates time and history as well. As </w:t>
      </w:r>
      <w:r>
        <w:rPr>
          <w:rFonts w:ascii="Times New Roman" w:eastAsiaTheme="minorEastAsia" w:hAnsi="Times New Roman"/>
          <w:szCs w:val="24"/>
          <w:lang w:eastAsia="ja-JP"/>
        </w:rPr>
        <w:t xml:space="preserve">Gary Alan </w:t>
      </w:r>
      <w:r w:rsidRPr="00B053FF">
        <w:rPr>
          <w:rFonts w:ascii="Times New Roman" w:eastAsiaTheme="minorEastAsia" w:hAnsi="Times New Roman"/>
          <w:szCs w:val="24"/>
          <w:lang w:eastAsia="ja-JP"/>
        </w:rPr>
        <w:t>Fine explains, localized cultural norms that shape social life “are never simply personal choices. Nor are they captured from the air; their effects are consequential, lasting, and grounded in history.”</w:t>
      </w:r>
      <w:r>
        <w:rPr>
          <w:rStyle w:val="FootnoteReference"/>
          <w:rFonts w:ascii="Times New Roman" w:eastAsiaTheme="minorEastAsia" w:hAnsi="Times New Roman"/>
          <w:szCs w:val="24"/>
          <w:lang w:eastAsia="ja-JP"/>
        </w:rPr>
        <w:footnoteReference w:id="29"/>
      </w:r>
      <w:r w:rsidRPr="00B053FF">
        <w:rPr>
          <w:rFonts w:ascii="Times New Roman" w:eastAsiaTheme="minorEastAsia" w:hAnsi="Times New Roman"/>
          <w:szCs w:val="24"/>
          <w:lang w:eastAsia="ja-JP"/>
        </w:rPr>
        <w:t xml:space="preserve"> Thus, even in the face of major structural upheavals, there are forces of continuity that must be recognized. The past will shape responses to the present, and those present responses </w:t>
      </w:r>
      <w:r w:rsidR="00C00131">
        <w:rPr>
          <w:rFonts w:ascii="Times New Roman" w:eastAsiaTheme="minorEastAsia" w:hAnsi="Times New Roman"/>
          <w:szCs w:val="24"/>
          <w:lang w:eastAsia="ja-JP"/>
        </w:rPr>
        <w:t xml:space="preserve">will </w:t>
      </w:r>
      <w:r w:rsidRPr="00B053FF">
        <w:rPr>
          <w:rFonts w:ascii="Times New Roman" w:eastAsiaTheme="minorEastAsia" w:hAnsi="Times New Roman"/>
          <w:szCs w:val="24"/>
          <w:lang w:eastAsia="ja-JP"/>
        </w:rPr>
        <w:t xml:space="preserve">themselves become absorbed into the course of history, through replication and/or as catalyzing forces of action. In the case of how local federal courts responded to </w:t>
      </w:r>
      <w:r>
        <w:rPr>
          <w:rFonts w:ascii="Times New Roman" w:eastAsiaTheme="minorEastAsia" w:hAnsi="Times New Roman"/>
          <w:szCs w:val="24"/>
          <w:lang w:eastAsia="ja-JP"/>
        </w:rPr>
        <w:t xml:space="preserve">the </w:t>
      </w:r>
      <w:r w:rsidRPr="00B053FF">
        <w:rPr>
          <w:rFonts w:ascii="Times New Roman" w:eastAsiaTheme="minorEastAsia" w:hAnsi="Times New Roman"/>
          <w:szCs w:val="24"/>
          <w:lang w:eastAsia="ja-JP"/>
        </w:rPr>
        <w:t xml:space="preserve">structural changes </w:t>
      </w:r>
      <w:r>
        <w:rPr>
          <w:rFonts w:ascii="Times New Roman" w:eastAsiaTheme="minorEastAsia" w:hAnsi="Times New Roman"/>
          <w:szCs w:val="24"/>
          <w:lang w:eastAsia="ja-JP"/>
        </w:rPr>
        <w:t xml:space="preserve">of the 1980s </w:t>
      </w:r>
      <w:r w:rsidRPr="00B053FF">
        <w:rPr>
          <w:rFonts w:ascii="Times New Roman" w:eastAsiaTheme="minorEastAsia" w:hAnsi="Times New Roman"/>
          <w:szCs w:val="24"/>
          <w:lang w:eastAsia="ja-JP"/>
        </w:rPr>
        <w:t>and how they have adapted course since then, it is no wonder that they diverged in style and outcome while simultaneously gener</w:t>
      </w:r>
      <w:r>
        <w:rPr>
          <w:rFonts w:ascii="Times New Roman" w:eastAsiaTheme="minorEastAsia" w:hAnsi="Times New Roman"/>
          <w:szCs w:val="24"/>
          <w:lang w:eastAsia="ja-JP"/>
        </w:rPr>
        <w:t>ating their own patterned norms.</w:t>
      </w:r>
      <w:r>
        <w:rPr>
          <w:rStyle w:val="FootnoteReference"/>
          <w:rFonts w:ascii="Times New Roman" w:eastAsiaTheme="minorEastAsia" w:hAnsi="Times New Roman"/>
          <w:szCs w:val="24"/>
          <w:lang w:eastAsia="ja-JP"/>
        </w:rPr>
        <w:footnoteReference w:id="30"/>
      </w:r>
    </w:p>
    <w:p w14:paraId="17CFA367" w14:textId="092CFB0E" w:rsidR="00AA4EF9" w:rsidRDefault="00AA4EF9" w:rsidP="00AA4EF9">
      <w:pPr>
        <w:widowControl w:val="0"/>
        <w:autoSpaceDE w:val="0"/>
        <w:autoSpaceDN w:val="0"/>
        <w:adjustRightInd w:val="0"/>
        <w:spacing w:line="480" w:lineRule="auto"/>
        <w:ind w:firstLine="720"/>
        <w:rPr>
          <w:rFonts w:ascii="Times New Roman" w:hAnsi="Times New Roman"/>
          <w:szCs w:val="24"/>
        </w:rPr>
      </w:pPr>
      <w:r w:rsidRPr="00B053FF">
        <w:rPr>
          <w:rFonts w:ascii="Times New Roman" w:eastAsiaTheme="minorEastAsia" w:hAnsi="Times New Roman"/>
          <w:szCs w:val="24"/>
          <w:lang w:eastAsia="ja-JP"/>
        </w:rPr>
        <w:t xml:space="preserve">Moreover, by taking history seriously when dissecting the present, one cannot relegate the place of contingency to statistical “error.” Rather, any given moment in time is best understood as </w:t>
      </w:r>
      <w:r w:rsidRPr="00B053FF">
        <w:rPr>
          <w:rFonts w:ascii="Times New Roman" w:hAnsi="Times New Roman"/>
          <w:szCs w:val="24"/>
        </w:rPr>
        <w:t xml:space="preserve">contingent upon a number of forces, some significant and some mundane, rather than as the inevitable consequence of momentous political or structural change. The alternative possibilities and roads not taken can speak to the paths that </w:t>
      </w:r>
      <w:r w:rsidRPr="00B053FF">
        <w:rPr>
          <w:rFonts w:ascii="Times New Roman" w:hAnsi="Times New Roman"/>
          <w:i/>
          <w:szCs w:val="24"/>
        </w:rPr>
        <w:t xml:space="preserve">were </w:t>
      </w:r>
      <w:r w:rsidRPr="00B053FF">
        <w:rPr>
          <w:rFonts w:ascii="Times New Roman" w:hAnsi="Times New Roman"/>
          <w:szCs w:val="24"/>
        </w:rPr>
        <w:t xml:space="preserve">taken, and can illuminate why current configurations of power and structure take the shape that they do. </w:t>
      </w:r>
      <w:r w:rsidR="00B64A32">
        <w:rPr>
          <w:rFonts w:ascii="Times New Roman" w:hAnsi="Times New Roman"/>
          <w:szCs w:val="24"/>
        </w:rPr>
        <w:t xml:space="preserve">This recognition allows us to move beyond classic functionalist theoretical explanations, which assume that the majority of action is strategic, to credit all forms of causal phenomena in accounts of institutional action. </w:t>
      </w:r>
    </w:p>
    <w:p w14:paraId="232DE5B0" w14:textId="0C9D0D31" w:rsidR="00B64A32" w:rsidRPr="00A75105" w:rsidRDefault="00A75105" w:rsidP="00A75105">
      <w:pPr>
        <w:widowControl w:val="0"/>
        <w:autoSpaceDE w:val="0"/>
        <w:autoSpaceDN w:val="0"/>
        <w:adjustRightInd w:val="0"/>
        <w:spacing w:line="360" w:lineRule="auto"/>
        <w:rPr>
          <w:rFonts w:ascii="Times New Roman" w:eastAsiaTheme="minorEastAsia" w:hAnsi="Times New Roman"/>
          <w:i/>
          <w:szCs w:val="24"/>
          <w:lang w:eastAsia="ja-JP"/>
        </w:rPr>
      </w:pPr>
      <w:r w:rsidRPr="00A75105">
        <w:rPr>
          <w:rFonts w:ascii="Times New Roman" w:eastAsiaTheme="minorEastAsia" w:hAnsi="Times New Roman"/>
          <w:i/>
          <w:szCs w:val="24"/>
          <w:lang w:eastAsia="ja-JP"/>
        </w:rPr>
        <w:t>The structure of this book:</w:t>
      </w:r>
    </w:p>
    <w:p w14:paraId="3AEBE745" w14:textId="77777777" w:rsidR="00C82B86" w:rsidRPr="00B053FF" w:rsidRDefault="00C82B86" w:rsidP="00C82B86">
      <w:pPr>
        <w:spacing w:line="480" w:lineRule="auto"/>
        <w:ind w:firstLine="720"/>
        <w:rPr>
          <w:rFonts w:ascii="Times New Roman" w:hAnsi="Times New Roman"/>
          <w:szCs w:val="24"/>
        </w:rPr>
      </w:pPr>
      <w:r w:rsidRPr="00B053FF">
        <w:rPr>
          <w:rFonts w:ascii="Times New Roman" w:hAnsi="Times New Roman"/>
          <w:szCs w:val="24"/>
        </w:rPr>
        <w:t xml:space="preserve">In order to flesh out this story, I use multiple sources to first deconstruct the architecture of the federal drug sentencing laws and delineate their specific sources of potential power, then to illustrate the life of those laws in the four district courts. In the first section of the book, I rely on </w:t>
      </w:r>
      <w:r>
        <w:rPr>
          <w:rFonts w:ascii="Times New Roman" w:hAnsi="Times New Roman"/>
          <w:szCs w:val="24"/>
        </w:rPr>
        <w:t xml:space="preserve">data and archival </w:t>
      </w:r>
      <w:r w:rsidRPr="00B053FF">
        <w:rPr>
          <w:rFonts w:ascii="Times New Roman" w:hAnsi="Times New Roman"/>
          <w:szCs w:val="24"/>
        </w:rPr>
        <w:t>material that speak to the construction of the Guidelines and its</w:t>
      </w:r>
      <w:r>
        <w:rPr>
          <w:rFonts w:ascii="Times New Roman" w:hAnsi="Times New Roman"/>
          <w:szCs w:val="24"/>
        </w:rPr>
        <w:t xml:space="preserve"> subsequent</w:t>
      </w:r>
      <w:r w:rsidRPr="00B053FF">
        <w:rPr>
          <w:rFonts w:ascii="Times New Roman" w:hAnsi="Times New Roman"/>
          <w:szCs w:val="24"/>
        </w:rPr>
        <w:t xml:space="preserve"> </w:t>
      </w:r>
      <w:r w:rsidRPr="00B053FF">
        <w:rPr>
          <w:rFonts w:ascii="Times New Roman" w:hAnsi="Times New Roman"/>
          <w:szCs w:val="24"/>
        </w:rPr>
        <w:lastRenderedPageBreak/>
        <w:t>impacts nationally</w:t>
      </w:r>
      <w:r>
        <w:rPr>
          <w:rFonts w:ascii="Times New Roman" w:hAnsi="Times New Roman"/>
          <w:szCs w:val="24"/>
        </w:rPr>
        <w:t>. These sources include</w:t>
      </w:r>
      <w:r w:rsidRPr="00B053FF">
        <w:rPr>
          <w:rFonts w:ascii="Times New Roman" w:hAnsi="Times New Roman"/>
          <w:szCs w:val="24"/>
        </w:rPr>
        <w:t xml:space="preserve"> reports, memos</w:t>
      </w:r>
      <w:r>
        <w:rPr>
          <w:rFonts w:ascii="Times New Roman" w:hAnsi="Times New Roman"/>
          <w:szCs w:val="24"/>
        </w:rPr>
        <w:t>,</w:t>
      </w:r>
      <w:r w:rsidRPr="00B053FF">
        <w:rPr>
          <w:rFonts w:ascii="Times New Roman" w:hAnsi="Times New Roman"/>
          <w:szCs w:val="24"/>
        </w:rPr>
        <w:t xml:space="preserve"> and papers produced by the United States Sentencing Commission and the other legal institutions relevant to federal drug law enforcement and adjudication; writings by federal court stakehol</w:t>
      </w:r>
      <w:r>
        <w:rPr>
          <w:rFonts w:ascii="Times New Roman" w:hAnsi="Times New Roman"/>
          <w:szCs w:val="24"/>
        </w:rPr>
        <w:t xml:space="preserve">ders; </w:t>
      </w:r>
      <w:r w:rsidRPr="00B053FF">
        <w:rPr>
          <w:rFonts w:ascii="Times New Roman" w:hAnsi="Times New Roman"/>
          <w:szCs w:val="24"/>
        </w:rPr>
        <w:t xml:space="preserve">independent policy papers; published and unpublished court opinions; news articles; and official data collected by the U.S Marshall’s office who book federal criminal suspects, the U.S. Attorney data on charges filed and declined, US Administrative Office of the Courts’ data on case processing, and the US Sentencing Commission data on sentenced cases. </w:t>
      </w:r>
    </w:p>
    <w:p w14:paraId="07142174" w14:textId="77777777" w:rsidR="00C82B86" w:rsidRPr="00B053FF" w:rsidRDefault="00C82B86" w:rsidP="00C82B86">
      <w:pPr>
        <w:spacing w:line="480" w:lineRule="auto"/>
        <w:ind w:firstLine="720"/>
        <w:rPr>
          <w:rFonts w:ascii="Times New Roman" w:hAnsi="Times New Roman"/>
          <w:szCs w:val="24"/>
        </w:rPr>
      </w:pPr>
      <w:r w:rsidRPr="00B053FF">
        <w:rPr>
          <w:rFonts w:ascii="Times New Roman" w:hAnsi="Times New Roman"/>
          <w:szCs w:val="24"/>
        </w:rPr>
        <w:t xml:space="preserve">For the core of the book, addressing the life of the drug laws in court, I draw on field notes of my direct observations collected from late 2012 through </w:t>
      </w:r>
      <w:r>
        <w:rPr>
          <w:rFonts w:ascii="Times New Roman" w:hAnsi="Times New Roman"/>
          <w:szCs w:val="24"/>
        </w:rPr>
        <w:t xml:space="preserve">summer </w:t>
      </w:r>
      <w:r w:rsidRPr="00B053FF">
        <w:rPr>
          <w:rFonts w:ascii="Times New Roman" w:hAnsi="Times New Roman"/>
          <w:szCs w:val="24"/>
        </w:rPr>
        <w:t xml:space="preserve">2014 </w:t>
      </w:r>
      <w:r>
        <w:rPr>
          <w:rFonts w:ascii="Times New Roman" w:hAnsi="Times New Roman"/>
          <w:szCs w:val="24"/>
        </w:rPr>
        <w:t xml:space="preserve">detailing </w:t>
      </w:r>
      <w:r w:rsidRPr="00B053FF">
        <w:rPr>
          <w:rFonts w:ascii="Times New Roman" w:hAnsi="Times New Roman"/>
          <w:szCs w:val="24"/>
        </w:rPr>
        <w:t>how cases are adjudicated in each of the four districts</w:t>
      </w:r>
      <w:r>
        <w:rPr>
          <w:rFonts w:ascii="Times New Roman" w:hAnsi="Times New Roman"/>
          <w:szCs w:val="24"/>
        </w:rPr>
        <w:t>; transcripts from</w:t>
      </w:r>
      <w:r w:rsidRPr="00B053FF">
        <w:rPr>
          <w:rFonts w:ascii="Times New Roman" w:hAnsi="Times New Roman"/>
          <w:szCs w:val="24"/>
        </w:rPr>
        <w:t xml:space="preserve"> in-depth interviews with defense attorneys, former and current federal prosecutors, </w:t>
      </w:r>
      <w:r>
        <w:rPr>
          <w:rFonts w:ascii="Times New Roman" w:hAnsi="Times New Roman"/>
          <w:szCs w:val="24"/>
        </w:rPr>
        <w:t xml:space="preserve">and </w:t>
      </w:r>
      <w:r w:rsidRPr="00B053FF">
        <w:rPr>
          <w:rFonts w:ascii="Times New Roman" w:hAnsi="Times New Roman"/>
          <w:szCs w:val="24"/>
        </w:rPr>
        <w:t xml:space="preserve">district court judges; case file materials including sentencing memos, plea agreements and sentencing documents from sentenced drug cases in the districts, and the official data specific to the districts from the </w:t>
      </w:r>
      <w:r>
        <w:rPr>
          <w:rFonts w:ascii="Times New Roman" w:hAnsi="Times New Roman"/>
          <w:szCs w:val="24"/>
        </w:rPr>
        <w:t xml:space="preserve">US </w:t>
      </w:r>
      <w:r w:rsidRPr="00B053FF">
        <w:rPr>
          <w:rFonts w:ascii="Times New Roman" w:hAnsi="Times New Roman"/>
          <w:szCs w:val="24"/>
        </w:rPr>
        <w:t xml:space="preserve">Marshall’s office, the US Attorneys, the courts, and the Sentencing Commission, much of which is available from 1992-2013. </w:t>
      </w:r>
    </w:p>
    <w:p w14:paraId="097D786B" w14:textId="1621A5F4" w:rsidR="00904F7B" w:rsidRPr="00B053FF" w:rsidRDefault="000F44FA" w:rsidP="00D00505">
      <w:pPr>
        <w:pStyle w:val="PlainText"/>
        <w:spacing w:line="480" w:lineRule="auto"/>
        <w:rPr>
          <w:rFonts w:ascii="Times New Roman" w:hAnsi="Times New Roman"/>
          <w:sz w:val="24"/>
          <w:szCs w:val="24"/>
        </w:rPr>
      </w:pPr>
      <w:r w:rsidRPr="00B053FF">
        <w:rPr>
          <w:rFonts w:ascii="Times New Roman" w:hAnsi="Times New Roman"/>
          <w:sz w:val="24"/>
          <w:szCs w:val="24"/>
        </w:rPr>
        <w:tab/>
      </w:r>
      <w:r w:rsidR="002A70DC">
        <w:rPr>
          <w:rFonts w:ascii="Times New Roman" w:hAnsi="Times New Roman"/>
          <w:sz w:val="24"/>
          <w:szCs w:val="24"/>
        </w:rPr>
        <w:t xml:space="preserve">I begin </w:t>
      </w:r>
      <w:r w:rsidR="00A75105">
        <w:rPr>
          <w:rFonts w:ascii="Times New Roman" w:hAnsi="Times New Roman"/>
          <w:sz w:val="24"/>
          <w:szCs w:val="24"/>
        </w:rPr>
        <w:t xml:space="preserve">in the next section </w:t>
      </w:r>
      <w:r w:rsidR="002A70DC">
        <w:rPr>
          <w:rFonts w:ascii="Times New Roman" w:hAnsi="Times New Roman"/>
          <w:sz w:val="24"/>
          <w:szCs w:val="24"/>
        </w:rPr>
        <w:t xml:space="preserve">by providing a bit more </w:t>
      </w:r>
      <w:r w:rsidRPr="00B053FF">
        <w:rPr>
          <w:rFonts w:ascii="Times New Roman" w:hAnsi="Times New Roman"/>
          <w:sz w:val="24"/>
          <w:szCs w:val="24"/>
        </w:rPr>
        <w:t xml:space="preserve">macro-context </w:t>
      </w:r>
      <w:r w:rsidR="00B72137" w:rsidRPr="00B053FF">
        <w:rPr>
          <w:rFonts w:ascii="Times New Roman" w:hAnsi="Times New Roman"/>
          <w:sz w:val="24"/>
          <w:szCs w:val="24"/>
        </w:rPr>
        <w:t xml:space="preserve">of the federal war on drugs </w:t>
      </w:r>
      <w:r w:rsidR="002A70DC">
        <w:rPr>
          <w:rFonts w:ascii="Times New Roman" w:hAnsi="Times New Roman"/>
          <w:sz w:val="24"/>
          <w:szCs w:val="24"/>
        </w:rPr>
        <w:t>before moving into</w:t>
      </w:r>
      <w:r w:rsidRPr="00B053FF">
        <w:rPr>
          <w:rFonts w:ascii="Times New Roman" w:hAnsi="Times New Roman"/>
          <w:sz w:val="24"/>
          <w:szCs w:val="24"/>
        </w:rPr>
        <w:t xml:space="preserve"> </w:t>
      </w:r>
      <w:r w:rsidR="00B72137" w:rsidRPr="00B053FF">
        <w:rPr>
          <w:rFonts w:ascii="Times New Roman" w:hAnsi="Times New Roman"/>
          <w:sz w:val="24"/>
          <w:szCs w:val="24"/>
        </w:rPr>
        <w:t xml:space="preserve">the </w:t>
      </w:r>
      <w:r w:rsidRPr="00B053FF">
        <w:rPr>
          <w:rFonts w:ascii="Times New Roman" w:hAnsi="Times New Roman"/>
          <w:sz w:val="24"/>
          <w:szCs w:val="24"/>
        </w:rPr>
        <w:t>micro-mechanics</w:t>
      </w:r>
      <w:r w:rsidR="00B72137" w:rsidRPr="00B053FF">
        <w:rPr>
          <w:rFonts w:ascii="Times New Roman" w:hAnsi="Times New Roman"/>
          <w:sz w:val="24"/>
          <w:szCs w:val="24"/>
        </w:rPr>
        <w:t xml:space="preserve"> of how federal drug cases live in trial-level courts</w:t>
      </w:r>
      <w:r w:rsidRPr="00B053FF">
        <w:rPr>
          <w:rFonts w:ascii="Times New Roman" w:hAnsi="Times New Roman"/>
          <w:sz w:val="24"/>
          <w:szCs w:val="24"/>
        </w:rPr>
        <w:t xml:space="preserve">. </w:t>
      </w:r>
      <w:r w:rsidR="00904F7B" w:rsidRPr="00B053FF">
        <w:rPr>
          <w:rFonts w:ascii="Times New Roman" w:hAnsi="Times New Roman"/>
          <w:sz w:val="24"/>
          <w:szCs w:val="24"/>
        </w:rPr>
        <w:t xml:space="preserve">Chapter 1 </w:t>
      </w:r>
      <w:r w:rsidRPr="00B053FF">
        <w:rPr>
          <w:rFonts w:ascii="Times New Roman" w:hAnsi="Times New Roman"/>
          <w:sz w:val="24"/>
          <w:szCs w:val="24"/>
        </w:rPr>
        <w:t>offer</w:t>
      </w:r>
      <w:r w:rsidR="002A70DC">
        <w:rPr>
          <w:rFonts w:ascii="Times New Roman" w:hAnsi="Times New Roman"/>
          <w:sz w:val="24"/>
          <w:szCs w:val="24"/>
        </w:rPr>
        <w:t xml:space="preserve">s </w:t>
      </w:r>
      <w:r w:rsidRPr="00B053FF">
        <w:rPr>
          <w:rFonts w:ascii="Times New Roman" w:hAnsi="Times New Roman"/>
          <w:sz w:val="24"/>
          <w:szCs w:val="24"/>
        </w:rPr>
        <w:t>a broad-stroke history of federal involvement in illicit drug regulation</w:t>
      </w:r>
      <w:r w:rsidR="00B72137" w:rsidRPr="00B053FF">
        <w:rPr>
          <w:rFonts w:ascii="Times New Roman" w:hAnsi="Times New Roman"/>
          <w:sz w:val="24"/>
          <w:szCs w:val="24"/>
        </w:rPr>
        <w:t xml:space="preserve"> in </w:t>
      </w:r>
      <w:r w:rsidRPr="00B053FF">
        <w:rPr>
          <w:rFonts w:ascii="Times New Roman" w:hAnsi="Times New Roman"/>
          <w:sz w:val="24"/>
          <w:szCs w:val="24"/>
        </w:rPr>
        <w:t>the 20</w:t>
      </w:r>
      <w:r w:rsidRPr="00B053FF">
        <w:rPr>
          <w:rFonts w:ascii="Times New Roman" w:hAnsi="Times New Roman"/>
          <w:sz w:val="24"/>
          <w:szCs w:val="24"/>
          <w:vertAlign w:val="superscript"/>
        </w:rPr>
        <w:t>th</w:t>
      </w:r>
      <w:r w:rsidR="002A70DC">
        <w:rPr>
          <w:rFonts w:ascii="Times New Roman" w:hAnsi="Times New Roman"/>
          <w:sz w:val="24"/>
          <w:szCs w:val="24"/>
        </w:rPr>
        <w:t xml:space="preserve"> century</w:t>
      </w:r>
      <w:r w:rsidR="00BE56AF">
        <w:rPr>
          <w:rFonts w:ascii="Times New Roman" w:hAnsi="Times New Roman"/>
          <w:sz w:val="24"/>
          <w:szCs w:val="24"/>
        </w:rPr>
        <w:t xml:space="preserve"> through the passage of the Sentencing Reform Act of 1984 and the 1986 and 1988 drug mandatory minimum statutes. </w:t>
      </w:r>
      <w:r w:rsidR="00D270B9" w:rsidRPr="00B053FF">
        <w:rPr>
          <w:rFonts w:ascii="Times New Roman" w:hAnsi="Times New Roman"/>
          <w:sz w:val="24"/>
          <w:szCs w:val="24"/>
        </w:rPr>
        <w:t>Because</w:t>
      </w:r>
      <w:r w:rsidR="00B72137" w:rsidRPr="00B053FF">
        <w:rPr>
          <w:rFonts w:ascii="Times New Roman" w:hAnsi="Times New Roman"/>
          <w:sz w:val="24"/>
          <w:szCs w:val="24"/>
        </w:rPr>
        <w:t xml:space="preserve"> there exist several excellent accounts of this </w:t>
      </w:r>
      <w:r w:rsidR="002A70DC">
        <w:rPr>
          <w:rFonts w:ascii="Times New Roman" w:hAnsi="Times New Roman"/>
          <w:sz w:val="24"/>
          <w:szCs w:val="24"/>
        </w:rPr>
        <w:t>political history</w:t>
      </w:r>
      <w:r w:rsidR="00B72137" w:rsidRPr="00B053FF">
        <w:rPr>
          <w:rFonts w:ascii="Times New Roman" w:hAnsi="Times New Roman"/>
          <w:sz w:val="24"/>
          <w:szCs w:val="24"/>
        </w:rPr>
        <w:t>, spann</w:t>
      </w:r>
      <w:r w:rsidR="006D1767">
        <w:rPr>
          <w:rFonts w:ascii="Times New Roman" w:hAnsi="Times New Roman"/>
          <w:sz w:val="24"/>
          <w:szCs w:val="24"/>
        </w:rPr>
        <w:t xml:space="preserve">ing a longer period of </w:t>
      </w:r>
      <w:r w:rsidR="002A70DC">
        <w:rPr>
          <w:rFonts w:ascii="Times New Roman" w:hAnsi="Times New Roman"/>
          <w:sz w:val="24"/>
          <w:szCs w:val="24"/>
        </w:rPr>
        <w:t>time</w:t>
      </w:r>
      <w:r w:rsidR="00B72137" w:rsidRPr="00B053FF">
        <w:rPr>
          <w:rFonts w:ascii="Times New Roman" w:hAnsi="Times New Roman"/>
          <w:sz w:val="24"/>
          <w:szCs w:val="24"/>
        </w:rPr>
        <w:t>,</w:t>
      </w:r>
      <w:r w:rsidR="006D1767">
        <w:rPr>
          <w:rStyle w:val="FootnoteReference"/>
          <w:rFonts w:ascii="Times New Roman" w:hAnsi="Times New Roman"/>
          <w:sz w:val="24"/>
          <w:szCs w:val="24"/>
        </w:rPr>
        <w:footnoteReference w:id="31"/>
      </w:r>
      <w:r w:rsidR="00B72137" w:rsidRPr="00B053FF">
        <w:rPr>
          <w:rFonts w:ascii="Times New Roman" w:hAnsi="Times New Roman"/>
          <w:sz w:val="24"/>
          <w:szCs w:val="24"/>
        </w:rPr>
        <w:t xml:space="preserve"> my goal here is to </w:t>
      </w:r>
      <w:r w:rsidR="00B053FF">
        <w:rPr>
          <w:rFonts w:ascii="Times New Roman" w:hAnsi="Times New Roman"/>
          <w:sz w:val="24"/>
          <w:szCs w:val="24"/>
        </w:rPr>
        <w:t xml:space="preserve">simply </w:t>
      </w:r>
      <w:r w:rsidR="00B72137" w:rsidRPr="00B053FF">
        <w:rPr>
          <w:rFonts w:ascii="Times New Roman" w:hAnsi="Times New Roman"/>
          <w:sz w:val="24"/>
          <w:szCs w:val="24"/>
        </w:rPr>
        <w:t xml:space="preserve">provide sufficient context for the meat of the </w:t>
      </w:r>
      <w:r w:rsidR="00D270B9" w:rsidRPr="00B053FF">
        <w:rPr>
          <w:rFonts w:ascii="Times New Roman" w:hAnsi="Times New Roman"/>
          <w:sz w:val="24"/>
          <w:szCs w:val="24"/>
        </w:rPr>
        <w:t xml:space="preserve">analysis and </w:t>
      </w:r>
      <w:r w:rsidR="00B72137" w:rsidRPr="00B053FF">
        <w:rPr>
          <w:rFonts w:ascii="Times New Roman" w:hAnsi="Times New Roman"/>
          <w:sz w:val="24"/>
          <w:szCs w:val="24"/>
        </w:rPr>
        <w:t>arguments.</w:t>
      </w:r>
      <w:r w:rsidRPr="00B053FF">
        <w:rPr>
          <w:rFonts w:ascii="Times New Roman" w:hAnsi="Times New Roman"/>
          <w:sz w:val="24"/>
          <w:szCs w:val="24"/>
        </w:rPr>
        <w:t xml:space="preserve"> </w:t>
      </w:r>
      <w:r w:rsidR="00BE56AF">
        <w:rPr>
          <w:rFonts w:ascii="Times New Roman" w:hAnsi="Times New Roman"/>
          <w:sz w:val="24"/>
          <w:szCs w:val="24"/>
        </w:rPr>
        <w:t xml:space="preserve">Chapter 1 ends with a roadmap of the key legal tools </w:t>
      </w:r>
      <w:r w:rsidR="00BE56AF">
        <w:rPr>
          <w:rFonts w:ascii="Times New Roman" w:hAnsi="Times New Roman"/>
          <w:sz w:val="24"/>
          <w:szCs w:val="24"/>
        </w:rPr>
        <w:lastRenderedPageBreak/>
        <w:t>relevant to drug offenses that have been in force since the mid-1980s</w:t>
      </w:r>
      <w:r w:rsidR="00C00131">
        <w:rPr>
          <w:rFonts w:ascii="Times New Roman" w:hAnsi="Times New Roman"/>
          <w:sz w:val="24"/>
          <w:szCs w:val="24"/>
        </w:rPr>
        <w:t>,</w:t>
      </w:r>
      <w:r w:rsidR="00BE56AF">
        <w:rPr>
          <w:rFonts w:ascii="Times New Roman" w:hAnsi="Times New Roman"/>
          <w:sz w:val="24"/>
          <w:szCs w:val="24"/>
        </w:rPr>
        <w:t xml:space="preserve"> which are </w:t>
      </w:r>
      <w:r w:rsidR="00BE56AF" w:rsidRPr="00B053FF">
        <w:rPr>
          <w:rFonts w:ascii="Times New Roman" w:hAnsi="Times New Roman"/>
          <w:sz w:val="24"/>
          <w:szCs w:val="24"/>
        </w:rPr>
        <w:t xml:space="preserve">used to generate lengthy and racially unequal drug sentences. </w:t>
      </w:r>
      <w:r w:rsidR="002A70DC">
        <w:rPr>
          <w:rFonts w:ascii="Times New Roman" w:hAnsi="Times New Roman"/>
          <w:sz w:val="24"/>
          <w:szCs w:val="24"/>
        </w:rPr>
        <w:t xml:space="preserve">In Chapter 2, </w:t>
      </w:r>
      <w:r w:rsidR="00904F7B" w:rsidRPr="00B053FF">
        <w:rPr>
          <w:rFonts w:ascii="Times New Roman" w:hAnsi="Times New Roman"/>
          <w:sz w:val="24"/>
          <w:szCs w:val="24"/>
        </w:rPr>
        <w:t>I</w:t>
      </w:r>
      <w:r w:rsidRPr="00B053FF">
        <w:rPr>
          <w:rFonts w:ascii="Times New Roman" w:hAnsi="Times New Roman"/>
          <w:sz w:val="24"/>
          <w:szCs w:val="24"/>
        </w:rPr>
        <w:t xml:space="preserve"> </w:t>
      </w:r>
      <w:r w:rsidR="00BE56AF">
        <w:rPr>
          <w:rFonts w:ascii="Times New Roman" w:hAnsi="Times New Roman"/>
          <w:sz w:val="24"/>
          <w:szCs w:val="24"/>
        </w:rPr>
        <w:t>u</w:t>
      </w:r>
      <w:r w:rsidR="00904F7B" w:rsidRPr="00B053FF">
        <w:rPr>
          <w:rFonts w:ascii="Times New Roman" w:hAnsi="Times New Roman"/>
          <w:sz w:val="24"/>
          <w:szCs w:val="24"/>
        </w:rPr>
        <w:t>s</w:t>
      </w:r>
      <w:r w:rsidR="00BE56AF">
        <w:rPr>
          <w:rFonts w:ascii="Times New Roman" w:hAnsi="Times New Roman"/>
          <w:sz w:val="24"/>
          <w:szCs w:val="24"/>
        </w:rPr>
        <w:t>e</w:t>
      </w:r>
      <w:r w:rsidR="00904F7B" w:rsidRPr="00B053FF">
        <w:rPr>
          <w:rFonts w:ascii="Times New Roman" w:hAnsi="Times New Roman"/>
          <w:sz w:val="24"/>
          <w:szCs w:val="24"/>
        </w:rPr>
        <w:t xml:space="preserve"> longitudinal</w:t>
      </w:r>
      <w:r w:rsidR="00BE56AF">
        <w:rPr>
          <w:rFonts w:ascii="Times New Roman" w:hAnsi="Times New Roman"/>
          <w:sz w:val="24"/>
          <w:szCs w:val="24"/>
        </w:rPr>
        <w:t xml:space="preserve"> data</w:t>
      </w:r>
      <w:r w:rsidR="00904F7B" w:rsidRPr="00B053FF">
        <w:rPr>
          <w:rFonts w:ascii="Times New Roman" w:hAnsi="Times New Roman"/>
          <w:sz w:val="24"/>
          <w:szCs w:val="24"/>
        </w:rPr>
        <w:t xml:space="preserve"> </w:t>
      </w:r>
      <w:r w:rsidR="00BE56AF">
        <w:rPr>
          <w:rFonts w:ascii="Times New Roman" w:hAnsi="Times New Roman"/>
          <w:sz w:val="24"/>
          <w:szCs w:val="24"/>
        </w:rPr>
        <w:t>to</w:t>
      </w:r>
      <w:r w:rsidR="00904F7B" w:rsidRPr="00B053FF">
        <w:rPr>
          <w:rFonts w:ascii="Times New Roman" w:hAnsi="Times New Roman"/>
          <w:sz w:val="24"/>
          <w:szCs w:val="24"/>
        </w:rPr>
        <w:t xml:space="preserve"> illustrate the impacts of the Guidelines revolution on the number and kinds of cases entering into federal court</w:t>
      </w:r>
      <w:r w:rsidR="00BE56AF">
        <w:rPr>
          <w:rFonts w:ascii="Times New Roman" w:hAnsi="Times New Roman"/>
          <w:sz w:val="24"/>
          <w:szCs w:val="24"/>
        </w:rPr>
        <w:t xml:space="preserve"> across the national landscape</w:t>
      </w:r>
      <w:r w:rsidR="00904F7B" w:rsidRPr="00B053FF">
        <w:rPr>
          <w:rFonts w:ascii="Times New Roman" w:hAnsi="Times New Roman"/>
          <w:sz w:val="24"/>
          <w:szCs w:val="24"/>
        </w:rPr>
        <w:t>, a</w:t>
      </w:r>
      <w:r w:rsidR="00BE56AF">
        <w:rPr>
          <w:rFonts w:ascii="Times New Roman" w:hAnsi="Times New Roman"/>
          <w:sz w:val="24"/>
          <w:szCs w:val="24"/>
        </w:rPr>
        <w:t>s well as</w:t>
      </w:r>
      <w:r w:rsidR="00904F7B" w:rsidRPr="00B053FF">
        <w:rPr>
          <w:rFonts w:ascii="Times New Roman" w:hAnsi="Times New Roman"/>
          <w:sz w:val="24"/>
          <w:szCs w:val="24"/>
        </w:rPr>
        <w:t xml:space="preserve"> the outcomes of those cases. </w:t>
      </w:r>
      <w:r w:rsidR="00323487" w:rsidRPr="00B053FF">
        <w:rPr>
          <w:rFonts w:ascii="Times New Roman" w:hAnsi="Times New Roman"/>
          <w:sz w:val="24"/>
          <w:szCs w:val="24"/>
        </w:rPr>
        <w:t>I map the diversity and growth in drug caseloads over time, as well as increases in penalties, a</w:t>
      </w:r>
      <w:r w:rsidR="00BE56AF">
        <w:rPr>
          <w:rFonts w:ascii="Times New Roman" w:hAnsi="Times New Roman"/>
          <w:sz w:val="24"/>
          <w:szCs w:val="24"/>
        </w:rPr>
        <w:t>nd increases in racially dispari</w:t>
      </w:r>
      <w:r w:rsidR="00323487" w:rsidRPr="00B053FF">
        <w:rPr>
          <w:rFonts w:ascii="Times New Roman" w:hAnsi="Times New Roman"/>
          <w:sz w:val="24"/>
          <w:szCs w:val="24"/>
        </w:rPr>
        <w:t>t</w:t>
      </w:r>
      <w:r w:rsidR="00BE56AF">
        <w:rPr>
          <w:rFonts w:ascii="Times New Roman" w:hAnsi="Times New Roman"/>
          <w:sz w:val="24"/>
          <w:szCs w:val="24"/>
        </w:rPr>
        <w:t>ies in who is coming to federal court and how their cases are resolved</w:t>
      </w:r>
      <w:r w:rsidR="00323487" w:rsidRPr="00B053FF">
        <w:rPr>
          <w:rFonts w:ascii="Times New Roman" w:hAnsi="Times New Roman"/>
          <w:sz w:val="24"/>
          <w:szCs w:val="24"/>
        </w:rPr>
        <w:t>.</w:t>
      </w:r>
      <w:r w:rsidR="00A33A89">
        <w:rPr>
          <w:rFonts w:ascii="Times New Roman" w:hAnsi="Times New Roman"/>
          <w:sz w:val="24"/>
          <w:szCs w:val="24"/>
        </w:rPr>
        <w:t xml:space="preserve"> </w:t>
      </w:r>
      <w:r w:rsidR="00BE56AF">
        <w:rPr>
          <w:rFonts w:ascii="Times New Roman" w:hAnsi="Times New Roman"/>
          <w:sz w:val="24"/>
          <w:szCs w:val="24"/>
        </w:rPr>
        <w:t xml:space="preserve">I also introduce my </w:t>
      </w:r>
      <w:r w:rsidR="00DF05EC" w:rsidRPr="00B053FF">
        <w:rPr>
          <w:rFonts w:ascii="Times New Roman" w:hAnsi="Times New Roman"/>
          <w:sz w:val="24"/>
          <w:szCs w:val="24"/>
        </w:rPr>
        <w:t xml:space="preserve">four selected districts, </w:t>
      </w:r>
      <w:r w:rsidR="00323487" w:rsidRPr="00B053FF">
        <w:rPr>
          <w:rFonts w:ascii="Times New Roman" w:hAnsi="Times New Roman"/>
          <w:sz w:val="24"/>
          <w:szCs w:val="24"/>
        </w:rPr>
        <w:t xml:space="preserve">which I will call here </w:t>
      </w:r>
      <w:r w:rsidR="00DF05EC" w:rsidRPr="00B053FF">
        <w:rPr>
          <w:rFonts w:ascii="Times New Roman" w:hAnsi="Times New Roman"/>
          <w:sz w:val="24"/>
          <w:szCs w:val="24"/>
        </w:rPr>
        <w:t>Northeastern District, Southern District, Southwest Border District, and Rural District.</w:t>
      </w:r>
      <w:r w:rsidR="00323487" w:rsidRPr="00B053FF">
        <w:rPr>
          <w:rStyle w:val="FootnoteReference"/>
          <w:rFonts w:ascii="Times New Roman" w:hAnsi="Times New Roman"/>
          <w:sz w:val="24"/>
          <w:szCs w:val="24"/>
        </w:rPr>
        <w:footnoteReference w:id="32"/>
      </w:r>
      <w:r w:rsidR="00DF05EC" w:rsidRPr="00B053FF">
        <w:rPr>
          <w:rFonts w:ascii="Times New Roman" w:hAnsi="Times New Roman"/>
          <w:sz w:val="24"/>
          <w:szCs w:val="24"/>
        </w:rPr>
        <w:t xml:space="preserve"> </w:t>
      </w:r>
      <w:r w:rsidR="00323487" w:rsidRPr="00B053FF">
        <w:rPr>
          <w:rFonts w:ascii="Times New Roman" w:hAnsi="Times New Roman"/>
          <w:sz w:val="24"/>
          <w:szCs w:val="24"/>
        </w:rPr>
        <w:t xml:space="preserve">I offer my reasoning for the selection of these four districts, and describe each as a locality, including the local court division structures in each and the communities in which the courts reside. </w:t>
      </w:r>
    </w:p>
    <w:p w14:paraId="42A89744" w14:textId="10CF9DFA" w:rsidR="00486639" w:rsidRPr="00B053FF" w:rsidRDefault="00BE56AF" w:rsidP="00D00505">
      <w:pPr>
        <w:pStyle w:val="PlainText"/>
        <w:spacing w:line="480" w:lineRule="auto"/>
        <w:ind w:right="-36" w:firstLine="720"/>
        <w:rPr>
          <w:rFonts w:ascii="Times New Roman" w:hAnsi="Times New Roman"/>
          <w:sz w:val="24"/>
          <w:szCs w:val="24"/>
        </w:rPr>
      </w:pPr>
      <w:r>
        <w:rPr>
          <w:rFonts w:ascii="Times New Roman" w:hAnsi="Times New Roman"/>
          <w:sz w:val="24"/>
          <w:szCs w:val="24"/>
        </w:rPr>
        <w:t>Chapters 3-6</w:t>
      </w:r>
      <w:r w:rsidRPr="00B053FF">
        <w:rPr>
          <w:rFonts w:ascii="Times New Roman" w:hAnsi="Times New Roman"/>
          <w:sz w:val="24"/>
          <w:szCs w:val="24"/>
        </w:rPr>
        <w:t xml:space="preserve"> closely examine the actual deployment of drug laws in federal court. </w:t>
      </w:r>
      <w:r w:rsidR="00323487" w:rsidRPr="00B053FF">
        <w:rPr>
          <w:rFonts w:ascii="Times New Roman" w:hAnsi="Times New Roman"/>
          <w:sz w:val="24"/>
          <w:szCs w:val="24"/>
        </w:rPr>
        <w:t xml:space="preserve">Chapter </w:t>
      </w:r>
      <w:r w:rsidR="003F2536">
        <w:rPr>
          <w:rFonts w:ascii="Times New Roman" w:hAnsi="Times New Roman"/>
          <w:sz w:val="24"/>
          <w:szCs w:val="24"/>
        </w:rPr>
        <w:t>3</w:t>
      </w:r>
      <w:r w:rsidR="00323487" w:rsidRPr="00B053FF">
        <w:rPr>
          <w:rFonts w:ascii="Times New Roman" w:hAnsi="Times New Roman"/>
          <w:sz w:val="24"/>
          <w:szCs w:val="24"/>
        </w:rPr>
        <w:t xml:space="preserve"> offers a detailed account of how drug defendants are selected into the federal system, a process that is highly divergent across districts yet that remains </w:t>
      </w:r>
      <w:r w:rsidR="00D70322" w:rsidRPr="00B053FF">
        <w:rPr>
          <w:rFonts w:ascii="Times New Roman" w:hAnsi="Times New Roman"/>
          <w:sz w:val="24"/>
          <w:szCs w:val="24"/>
        </w:rPr>
        <w:t xml:space="preserve">unexamined in </w:t>
      </w:r>
      <w:r w:rsidR="00486639" w:rsidRPr="00B053FF">
        <w:rPr>
          <w:rFonts w:ascii="Times New Roman" w:hAnsi="Times New Roman"/>
          <w:sz w:val="24"/>
          <w:szCs w:val="24"/>
        </w:rPr>
        <w:t xml:space="preserve">most </w:t>
      </w:r>
      <w:r w:rsidR="00D70322" w:rsidRPr="00B053FF">
        <w:rPr>
          <w:rFonts w:ascii="Times New Roman" w:hAnsi="Times New Roman"/>
          <w:sz w:val="24"/>
          <w:szCs w:val="24"/>
        </w:rPr>
        <w:t xml:space="preserve">empirical research. I show how the same tools that function to enhance sentences can be the triggers for entry, and how this highly discretionary selecting-in process is the single most important contributor to </w:t>
      </w:r>
      <w:r w:rsidR="003638F7">
        <w:rPr>
          <w:rFonts w:ascii="Times New Roman" w:hAnsi="Times New Roman"/>
          <w:sz w:val="24"/>
          <w:szCs w:val="24"/>
        </w:rPr>
        <w:t>the disproportionate</w:t>
      </w:r>
      <w:r w:rsidR="00486639" w:rsidRPr="00B053FF">
        <w:rPr>
          <w:rFonts w:ascii="Times New Roman" w:hAnsi="Times New Roman"/>
          <w:sz w:val="24"/>
          <w:szCs w:val="24"/>
        </w:rPr>
        <w:t xml:space="preserve"> number of minority</w:t>
      </w:r>
      <w:r w:rsidR="00D70322" w:rsidRPr="00B053FF">
        <w:rPr>
          <w:rFonts w:ascii="Times New Roman" w:hAnsi="Times New Roman"/>
          <w:sz w:val="24"/>
          <w:szCs w:val="24"/>
        </w:rPr>
        <w:t xml:space="preserve"> drug defendants</w:t>
      </w:r>
      <w:r w:rsidR="00486639" w:rsidRPr="00B053FF">
        <w:rPr>
          <w:rFonts w:ascii="Times New Roman" w:hAnsi="Times New Roman"/>
          <w:sz w:val="24"/>
          <w:szCs w:val="24"/>
        </w:rPr>
        <w:t xml:space="preserve"> in the federal system</w:t>
      </w:r>
      <w:r w:rsidR="00D70322" w:rsidRPr="00B053FF">
        <w:rPr>
          <w:rFonts w:ascii="Times New Roman" w:hAnsi="Times New Roman"/>
          <w:sz w:val="24"/>
          <w:szCs w:val="24"/>
        </w:rPr>
        <w:t xml:space="preserve">. </w:t>
      </w:r>
      <w:r w:rsidR="00314C48">
        <w:rPr>
          <w:rFonts w:ascii="Times New Roman" w:hAnsi="Times New Roman"/>
          <w:sz w:val="24"/>
          <w:szCs w:val="24"/>
        </w:rPr>
        <w:t xml:space="preserve">The selecting-in process also sets the course for subsequent negotiations and adjudication processes, in that the reasons many cases end up in federal court will drive </w:t>
      </w:r>
      <w:r w:rsidR="001A35D6">
        <w:rPr>
          <w:rFonts w:ascii="Times New Roman" w:hAnsi="Times New Roman"/>
          <w:sz w:val="24"/>
          <w:szCs w:val="24"/>
        </w:rPr>
        <w:t>what</w:t>
      </w:r>
      <w:r w:rsidR="00314C48">
        <w:rPr>
          <w:rFonts w:ascii="Times New Roman" w:hAnsi="Times New Roman"/>
          <w:sz w:val="24"/>
          <w:szCs w:val="24"/>
        </w:rPr>
        <w:t xml:space="preserve"> prosecutors </w:t>
      </w:r>
      <w:r w:rsidR="001A35D6">
        <w:rPr>
          <w:rFonts w:ascii="Times New Roman" w:hAnsi="Times New Roman"/>
          <w:sz w:val="24"/>
          <w:szCs w:val="24"/>
        </w:rPr>
        <w:t xml:space="preserve">seek from the defense in plea deals. </w:t>
      </w:r>
    </w:p>
    <w:p w14:paraId="079F2CD0" w14:textId="0087F9FB" w:rsidR="000F44FA" w:rsidRPr="00B053FF" w:rsidRDefault="00D70322" w:rsidP="00D00505">
      <w:pPr>
        <w:pStyle w:val="PlainText"/>
        <w:spacing w:line="480" w:lineRule="auto"/>
        <w:ind w:right="-36" w:firstLine="720"/>
        <w:rPr>
          <w:rFonts w:ascii="Times New Roman" w:hAnsi="Times New Roman"/>
          <w:sz w:val="24"/>
          <w:szCs w:val="24"/>
        </w:rPr>
      </w:pPr>
      <w:r w:rsidRPr="00B053FF">
        <w:rPr>
          <w:rFonts w:ascii="Times New Roman" w:hAnsi="Times New Roman"/>
          <w:sz w:val="24"/>
          <w:szCs w:val="24"/>
        </w:rPr>
        <w:t xml:space="preserve">Chapter </w:t>
      </w:r>
      <w:r w:rsidR="003F2536">
        <w:rPr>
          <w:rFonts w:ascii="Times New Roman" w:hAnsi="Times New Roman"/>
          <w:sz w:val="24"/>
          <w:szCs w:val="24"/>
        </w:rPr>
        <w:t>4</w:t>
      </w:r>
      <w:r w:rsidRPr="00B053FF">
        <w:rPr>
          <w:rFonts w:ascii="Times New Roman" w:hAnsi="Times New Roman"/>
          <w:sz w:val="24"/>
          <w:szCs w:val="24"/>
        </w:rPr>
        <w:t xml:space="preserve"> </w:t>
      </w:r>
      <w:r w:rsidR="00A33A89">
        <w:rPr>
          <w:rFonts w:ascii="Times New Roman" w:hAnsi="Times New Roman"/>
          <w:sz w:val="24"/>
          <w:szCs w:val="24"/>
        </w:rPr>
        <w:t xml:space="preserve">looks behind the scenes to see </w:t>
      </w:r>
      <w:r w:rsidRPr="00B053FF">
        <w:rPr>
          <w:rFonts w:ascii="Times New Roman" w:hAnsi="Times New Roman"/>
          <w:sz w:val="24"/>
          <w:szCs w:val="24"/>
        </w:rPr>
        <w:t>how federal drug defendants are induced into giving up their 5</w:t>
      </w:r>
      <w:r w:rsidRPr="00B053FF">
        <w:rPr>
          <w:rFonts w:ascii="Times New Roman" w:hAnsi="Times New Roman"/>
          <w:sz w:val="24"/>
          <w:szCs w:val="24"/>
          <w:vertAlign w:val="superscript"/>
        </w:rPr>
        <w:t>th</w:t>
      </w:r>
      <w:r w:rsidRPr="00B053FF">
        <w:rPr>
          <w:rFonts w:ascii="Times New Roman" w:hAnsi="Times New Roman"/>
          <w:sz w:val="24"/>
          <w:szCs w:val="24"/>
        </w:rPr>
        <w:t xml:space="preserve"> and 6</w:t>
      </w:r>
      <w:r w:rsidRPr="00B053FF">
        <w:rPr>
          <w:rFonts w:ascii="Times New Roman" w:hAnsi="Times New Roman"/>
          <w:sz w:val="24"/>
          <w:szCs w:val="24"/>
          <w:vertAlign w:val="superscript"/>
        </w:rPr>
        <w:t>th</w:t>
      </w:r>
      <w:r w:rsidRPr="00B053FF">
        <w:rPr>
          <w:rFonts w:ascii="Times New Roman" w:hAnsi="Times New Roman"/>
          <w:sz w:val="24"/>
          <w:szCs w:val="24"/>
        </w:rPr>
        <w:t xml:space="preserve"> amendment rights, including rights to appeal any part of the judgment or sentence, plead</w:t>
      </w:r>
      <w:r w:rsidR="00486639" w:rsidRPr="00B053FF">
        <w:rPr>
          <w:rFonts w:ascii="Times New Roman" w:hAnsi="Times New Roman"/>
          <w:sz w:val="24"/>
          <w:szCs w:val="24"/>
        </w:rPr>
        <w:t>ing</w:t>
      </w:r>
      <w:r w:rsidRPr="00B053FF">
        <w:rPr>
          <w:rFonts w:ascii="Times New Roman" w:hAnsi="Times New Roman"/>
          <w:sz w:val="24"/>
          <w:szCs w:val="24"/>
        </w:rPr>
        <w:t xml:space="preserve"> guilty, and </w:t>
      </w:r>
      <w:r w:rsidR="00486639" w:rsidRPr="00B053FF">
        <w:rPr>
          <w:rFonts w:ascii="Times New Roman" w:hAnsi="Times New Roman"/>
          <w:sz w:val="24"/>
          <w:szCs w:val="24"/>
        </w:rPr>
        <w:t xml:space="preserve">submitting to being </w:t>
      </w:r>
      <w:r w:rsidRPr="00B053FF">
        <w:rPr>
          <w:rFonts w:ascii="Times New Roman" w:hAnsi="Times New Roman"/>
          <w:sz w:val="24"/>
          <w:szCs w:val="24"/>
        </w:rPr>
        <w:t xml:space="preserve">sentenced to long prison sentences. </w:t>
      </w:r>
      <w:r w:rsidR="00323487" w:rsidRPr="00B053FF">
        <w:rPr>
          <w:rFonts w:ascii="Times New Roman" w:hAnsi="Times New Roman"/>
          <w:sz w:val="24"/>
          <w:szCs w:val="24"/>
        </w:rPr>
        <w:t xml:space="preserve"> </w:t>
      </w:r>
      <w:r w:rsidR="000F44FA" w:rsidRPr="00B053FF">
        <w:rPr>
          <w:rFonts w:ascii="Times New Roman" w:hAnsi="Times New Roman"/>
          <w:sz w:val="24"/>
          <w:szCs w:val="24"/>
        </w:rPr>
        <w:t xml:space="preserve">I </w:t>
      </w:r>
      <w:r w:rsidR="00486639" w:rsidRPr="00B053FF">
        <w:rPr>
          <w:rFonts w:ascii="Times New Roman" w:hAnsi="Times New Roman"/>
          <w:sz w:val="24"/>
          <w:szCs w:val="24"/>
        </w:rPr>
        <w:t xml:space="preserve">illustrate </w:t>
      </w:r>
      <w:r w:rsidR="00486639" w:rsidRPr="00B053FF">
        <w:rPr>
          <w:rFonts w:ascii="Times New Roman" w:hAnsi="Times New Roman"/>
          <w:sz w:val="24"/>
          <w:szCs w:val="24"/>
        </w:rPr>
        <w:lastRenderedPageBreak/>
        <w:t>that</w:t>
      </w:r>
      <w:r w:rsidR="000F44FA" w:rsidRPr="00B053FF">
        <w:rPr>
          <w:rFonts w:ascii="Times New Roman" w:hAnsi="Times New Roman"/>
          <w:sz w:val="24"/>
          <w:szCs w:val="24"/>
        </w:rPr>
        <w:t xml:space="preserve"> while there are </w:t>
      </w:r>
      <w:r w:rsidR="00B72137" w:rsidRPr="00B053FF">
        <w:rPr>
          <w:rFonts w:ascii="Times New Roman" w:hAnsi="Times New Roman"/>
          <w:sz w:val="24"/>
          <w:szCs w:val="24"/>
        </w:rPr>
        <w:t>important distinctions</w:t>
      </w:r>
      <w:r w:rsidR="000F44FA" w:rsidRPr="00B053FF">
        <w:rPr>
          <w:rFonts w:ascii="Times New Roman" w:hAnsi="Times New Roman"/>
          <w:sz w:val="24"/>
          <w:szCs w:val="24"/>
        </w:rPr>
        <w:t xml:space="preserve"> in process and outcomes of drug cases by district, threats to procedural justice in this system transcend geography precisely due to the enormous power of the substantive criminal law at play. I deconstruct how guilty pleas are </w:t>
      </w:r>
      <w:r w:rsidR="003638F7">
        <w:rPr>
          <w:rFonts w:ascii="Times New Roman" w:hAnsi="Times New Roman"/>
          <w:sz w:val="24"/>
          <w:szCs w:val="24"/>
        </w:rPr>
        <w:t xml:space="preserve">often </w:t>
      </w:r>
      <w:r w:rsidR="000F44FA" w:rsidRPr="00B053FF">
        <w:rPr>
          <w:rFonts w:ascii="Times New Roman" w:hAnsi="Times New Roman"/>
          <w:sz w:val="24"/>
          <w:szCs w:val="24"/>
        </w:rPr>
        <w:t xml:space="preserve">derived through a coercive system demanding “cooperation” (or snitching) for deals on the one hand, and threats to dramatically drive up sentencing exposure through the </w:t>
      </w:r>
      <w:r w:rsidR="003638F7">
        <w:rPr>
          <w:rFonts w:ascii="Times New Roman" w:hAnsi="Times New Roman"/>
          <w:sz w:val="24"/>
          <w:szCs w:val="24"/>
        </w:rPr>
        <w:t>pursuit of additional</w:t>
      </w:r>
      <w:r w:rsidR="000F44FA" w:rsidRPr="00B053FF">
        <w:rPr>
          <w:rFonts w:ascii="Times New Roman" w:hAnsi="Times New Roman"/>
          <w:sz w:val="24"/>
          <w:szCs w:val="24"/>
        </w:rPr>
        <w:t xml:space="preserve"> charges and enhancements, on the other. </w:t>
      </w:r>
      <w:r w:rsidR="00C00131">
        <w:rPr>
          <w:rFonts w:ascii="Times New Roman" w:hAnsi="Times New Roman"/>
          <w:sz w:val="24"/>
          <w:szCs w:val="24"/>
        </w:rPr>
        <w:t>I also examine the consequences for those who do not succumb to the pressu</w:t>
      </w:r>
      <w:r w:rsidR="009C42A9">
        <w:rPr>
          <w:rFonts w:ascii="Times New Roman" w:hAnsi="Times New Roman"/>
          <w:sz w:val="24"/>
          <w:szCs w:val="24"/>
        </w:rPr>
        <w:t xml:space="preserve">re to plead guilty, like Devon Harrison, elucidating how punitive the </w:t>
      </w:r>
      <w:r w:rsidR="00A33A89">
        <w:rPr>
          <w:rFonts w:ascii="Times New Roman" w:hAnsi="Times New Roman"/>
          <w:sz w:val="24"/>
          <w:szCs w:val="24"/>
        </w:rPr>
        <w:t>penalties</w:t>
      </w:r>
      <w:r w:rsidR="009C42A9">
        <w:rPr>
          <w:rFonts w:ascii="Times New Roman" w:hAnsi="Times New Roman"/>
          <w:sz w:val="24"/>
          <w:szCs w:val="24"/>
        </w:rPr>
        <w:t xml:space="preserve"> can be </w:t>
      </w:r>
      <w:r w:rsidR="00A33A89">
        <w:rPr>
          <w:rFonts w:ascii="Times New Roman" w:hAnsi="Times New Roman"/>
          <w:sz w:val="24"/>
          <w:szCs w:val="24"/>
        </w:rPr>
        <w:t>when defendants assert their rights in federal court</w:t>
      </w:r>
      <w:r w:rsidR="009C42A9">
        <w:rPr>
          <w:rFonts w:ascii="Times New Roman" w:hAnsi="Times New Roman"/>
          <w:sz w:val="24"/>
          <w:szCs w:val="24"/>
        </w:rPr>
        <w:t xml:space="preserve">. </w:t>
      </w:r>
    </w:p>
    <w:p w14:paraId="564B9D5C" w14:textId="68ABF084" w:rsidR="00486639" w:rsidRPr="00B053FF" w:rsidRDefault="00486639" w:rsidP="00D00505">
      <w:pPr>
        <w:pStyle w:val="PlainText"/>
        <w:spacing w:line="480" w:lineRule="auto"/>
        <w:ind w:right="-36" w:firstLine="720"/>
        <w:rPr>
          <w:rFonts w:ascii="Times New Roman" w:hAnsi="Times New Roman"/>
          <w:sz w:val="24"/>
          <w:szCs w:val="24"/>
        </w:rPr>
      </w:pPr>
      <w:r w:rsidRPr="00B053FF">
        <w:rPr>
          <w:rFonts w:ascii="Times New Roman" w:hAnsi="Times New Roman"/>
          <w:sz w:val="24"/>
          <w:szCs w:val="24"/>
        </w:rPr>
        <w:t xml:space="preserve">Chapter </w:t>
      </w:r>
      <w:r w:rsidR="003F2536">
        <w:rPr>
          <w:rFonts w:ascii="Times New Roman" w:hAnsi="Times New Roman"/>
          <w:sz w:val="24"/>
          <w:szCs w:val="24"/>
        </w:rPr>
        <w:t>5</w:t>
      </w:r>
      <w:r w:rsidRPr="00B053FF">
        <w:rPr>
          <w:rFonts w:ascii="Times New Roman" w:hAnsi="Times New Roman"/>
          <w:sz w:val="24"/>
          <w:szCs w:val="24"/>
        </w:rPr>
        <w:t xml:space="preserve"> details the </w:t>
      </w:r>
      <w:r w:rsidR="00A33A89">
        <w:rPr>
          <w:rFonts w:ascii="Times New Roman" w:hAnsi="Times New Roman"/>
          <w:sz w:val="24"/>
          <w:szCs w:val="24"/>
        </w:rPr>
        <w:t xml:space="preserve">formal plea and </w:t>
      </w:r>
      <w:r w:rsidRPr="00B053FF">
        <w:rPr>
          <w:rFonts w:ascii="Times New Roman" w:hAnsi="Times New Roman"/>
          <w:sz w:val="24"/>
          <w:szCs w:val="24"/>
        </w:rPr>
        <w:t>sentencing process</w:t>
      </w:r>
      <w:r w:rsidR="00A33A89">
        <w:rPr>
          <w:rFonts w:ascii="Times New Roman" w:hAnsi="Times New Roman"/>
          <w:sz w:val="24"/>
          <w:szCs w:val="24"/>
        </w:rPr>
        <w:t>es</w:t>
      </w:r>
      <w:r w:rsidRPr="00B053FF">
        <w:rPr>
          <w:rFonts w:ascii="Times New Roman" w:hAnsi="Times New Roman"/>
          <w:sz w:val="24"/>
          <w:szCs w:val="24"/>
        </w:rPr>
        <w:t xml:space="preserve">, and demonstrates how even under the advisory Guidelines sentencing system, the prescribed sentence from the </w:t>
      </w:r>
      <w:r w:rsidR="001A35D6">
        <w:rPr>
          <w:rFonts w:ascii="Times New Roman" w:hAnsi="Times New Roman"/>
          <w:sz w:val="24"/>
          <w:szCs w:val="24"/>
        </w:rPr>
        <w:t xml:space="preserve">Guidelines </w:t>
      </w:r>
      <w:r w:rsidRPr="00B053FF">
        <w:rPr>
          <w:rFonts w:ascii="Times New Roman" w:hAnsi="Times New Roman"/>
          <w:sz w:val="24"/>
          <w:szCs w:val="24"/>
        </w:rPr>
        <w:t xml:space="preserve">grid continues to be highly influential on how sentences are decided. Under the new rules, all sentences are </w:t>
      </w:r>
      <w:r w:rsidR="00042760" w:rsidRPr="00B053FF">
        <w:rPr>
          <w:rFonts w:ascii="Times New Roman" w:hAnsi="Times New Roman"/>
          <w:sz w:val="24"/>
          <w:szCs w:val="24"/>
        </w:rPr>
        <w:t xml:space="preserve">psychologically </w:t>
      </w:r>
      <w:r w:rsidRPr="00B053FF">
        <w:rPr>
          <w:rFonts w:ascii="Times New Roman" w:hAnsi="Times New Roman"/>
          <w:sz w:val="24"/>
          <w:szCs w:val="24"/>
        </w:rPr>
        <w:t>anchored to the Guidelines in that the c</w:t>
      </w:r>
      <w:r w:rsidR="00042760" w:rsidRPr="00B053FF">
        <w:rPr>
          <w:rFonts w:ascii="Times New Roman" w:hAnsi="Times New Roman"/>
          <w:sz w:val="24"/>
          <w:szCs w:val="24"/>
        </w:rPr>
        <w:t xml:space="preserve">orrect </w:t>
      </w:r>
      <w:r w:rsidR="001A35D6">
        <w:rPr>
          <w:rFonts w:ascii="Times New Roman" w:hAnsi="Times New Roman"/>
          <w:sz w:val="24"/>
          <w:szCs w:val="24"/>
        </w:rPr>
        <w:t xml:space="preserve">offense level, criminal history score, and corresponding </w:t>
      </w:r>
      <w:r w:rsidR="00042760" w:rsidRPr="00B053FF">
        <w:rPr>
          <w:rFonts w:ascii="Times New Roman" w:hAnsi="Times New Roman"/>
          <w:sz w:val="24"/>
          <w:szCs w:val="24"/>
        </w:rPr>
        <w:t xml:space="preserve">sentence range must first be calculated before judges can consider other factors </w:t>
      </w:r>
      <w:r w:rsidR="001A35D6">
        <w:rPr>
          <w:rFonts w:ascii="Times New Roman" w:hAnsi="Times New Roman"/>
          <w:sz w:val="24"/>
          <w:szCs w:val="24"/>
        </w:rPr>
        <w:t>for the purposes of sentencing</w:t>
      </w:r>
      <w:r w:rsidR="00042760" w:rsidRPr="00B053FF">
        <w:rPr>
          <w:rFonts w:ascii="Times New Roman" w:hAnsi="Times New Roman"/>
          <w:sz w:val="24"/>
          <w:szCs w:val="24"/>
        </w:rPr>
        <w:t>. I will also demonstrate how the logic of the Guidelines are narratively expressed by opposing attorneys and judges—how they differentially make meaning of things like prior criminal history and case facts—in the sentenc</w:t>
      </w:r>
      <w:r w:rsidR="003638F7">
        <w:rPr>
          <w:rFonts w:ascii="Times New Roman" w:hAnsi="Times New Roman"/>
          <w:sz w:val="24"/>
          <w:szCs w:val="24"/>
        </w:rPr>
        <w:t>ing</w:t>
      </w:r>
      <w:r w:rsidR="00042760" w:rsidRPr="00B053FF">
        <w:rPr>
          <w:rFonts w:ascii="Times New Roman" w:hAnsi="Times New Roman"/>
          <w:sz w:val="24"/>
          <w:szCs w:val="24"/>
        </w:rPr>
        <w:t xml:space="preserve"> process. </w:t>
      </w:r>
    </w:p>
    <w:p w14:paraId="57118B3D" w14:textId="7AE0C193" w:rsidR="00042760" w:rsidRPr="00B053FF" w:rsidRDefault="00042760" w:rsidP="00D00505">
      <w:pPr>
        <w:pStyle w:val="PlainText"/>
        <w:spacing w:line="480" w:lineRule="auto"/>
        <w:ind w:right="-36" w:firstLine="720"/>
        <w:rPr>
          <w:rFonts w:ascii="Times New Roman" w:hAnsi="Times New Roman"/>
          <w:sz w:val="24"/>
          <w:szCs w:val="24"/>
        </w:rPr>
      </w:pPr>
      <w:r w:rsidRPr="00B053FF">
        <w:rPr>
          <w:rFonts w:ascii="Times New Roman" w:hAnsi="Times New Roman"/>
          <w:sz w:val="24"/>
          <w:szCs w:val="24"/>
        </w:rPr>
        <w:t xml:space="preserve">Chapter </w:t>
      </w:r>
      <w:r w:rsidR="003F2536">
        <w:rPr>
          <w:rFonts w:ascii="Times New Roman" w:hAnsi="Times New Roman"/>
          <w:sz w:val="24"/>
          <w:szCs w:val="24"/>
        </w:rPr>
        <w:t>6</w:t>
      </w:r>
      <w:r w:rsidRPr="00B053FF">
        <w:rPr>
          <w:rFonts w:ascii="Times New Roman" w:hAnsi="Times New Roman"/>
          <w:sz w:val="24"/>
          <w:szCs w:val="24"/>
        </w:rPr>
        <w:t xml:space="preserve"> more directly examines the kinds of strategies of resistance available to the defense, and how those strategies get used to contain the risk of even longer sentences, and to mitigate actual sentences</w:t>
      </w:r>
      <w:r w:rsidR="006F60FA" w:rsidRPr="00B053FF">
        <w:rPr>
          <w:rFonts w:ascii="Times New Roman" w:hAnsi="Times New Roman"/>
          <w:sz w:val="24"/>
          <w:szCs w:val="24"/>
        </w:rPr>
        <w:t xml:space="preserve"> meted out</w:t>
      </w:r>
      <w:r w:rsidRPr="00B053FF">
        <w:rPr>
          <w:rFonts w:ascii="Times New Roman" w:hAnsi="Times New Roman"/>
          <w:sz w:val="24"/>
          <w:szCs w:val="24"/>
        </w:rPr>
        <w:t xml:space="preserve">. </w:t>
      </w:r>
      <w:r w:rsidR="00DB53F8" w:rsidRPr="00B053FF">
        <w:rPr>
          <w:rFonts w:ascii="Times New Roman" w:hAnsi="Times New Roman"/>
          <w:sz w:val="24"/>
          <w:szCs w:val="24"/>
        </w:rPr>
        <w:t xml:space="preserve">I first illustrate how defense attorneys navigate between prosecutors, pretrial probation officers, judges, and their clients to broker workable deals and </w:t>
      </w:r>
      <w:r w:rsidR="003638F7">
        <w:rPr>
          <w:rFonts w:ascii="Times New Roman" w:hAnsi="Times New Roman"/>
          <w:sz w:val="24"/>
          <w:szCs w:val="24"/>
        </w:rPr>
        <w:t>shepherd</w:t>
      </w:r>
      <w:r w:rsidR="00DB53F8" w:rsidRPr="00B053FF">
        <w:rPr>
          <w:rFonts w:ascii="Times New Roman" w:hAnsi="Times New Roman"/>
          <w:sz w:val="24"/>
          <w:szCs w:val="24"/>
        </w:rPr>
        <w:t xml:space="preserve"> the process through t</w:t>
      </w:r>
      <w:r w:rsidR="003638F7">
        <w:rPr>
          <w:rFonts w:ascii="Times New Roman" w:hAnsi="Times New Roman"/>
          <w:sz w:val="24"/>
          <w:szCs w:val="24"/>
        </w:rPr>
        <w:t>o</w:t>
      </w:r>
      <w:r w:rsidR="00DB53F8" w:rsidRPr="00B053FF">
        <w:rPr>
          <w:rFonts w:ascii="Times New Roman" w:hAnsi="Times New Roman"/>
          <w:sz w:val="24"/>
          <w:szCs w:val="24"/>
        </w:rPr>
        <w:t xml:space="preserve"> fruition. </w:t>
      </w:r>
      <w:r w:rsidRPr="00B053FF">
        <w:rPr>
          <w:rFonts w:ascii="Times New Roman" w:hAnsi="Times New Roman"/>
          <w:sz w:val="24"/>
          <w:szCs w:val="24"/>
        </w:rPr>
        <w:t xml:space="preserve">I </w:t>
      </w:r>
      <w:r w:rsidR="00DB53F8" w:rsidRPr="00B053FF">
        <w:rPr>
          <w:rFonts w:ascii="Times New Roman" w:hAnsi="Times New Roman"/>
          <w:sz w:val="24"/>
          <w:szCs w:val="24"/>
        </w:rPr>
        <w:t xml:space="preserve">also </w:t>
      </w:r>
      <w:r w:rsidR="001A35D6">
        <w:rPr>
          <w:rFonts w:ascii="Times New Roman" w:hAnsi="Times New Roman"/>
          <w:sz w:val="24"/>
          <w:szCs w:val="24"/>
        </w:rPr>
        <w:t>rely on my</w:t>
      </w:r>
      <w:r w:rsidRPr="00B053FF">
        <w:rPr>
          <w:rFonts w:ascii="Times New Roman" w:hAnsi="Times New Roman"/>
          <w:sz w:val="24"/>
          <w:szCs w:val="24"/>
        </w:rPr>
        <w:t xml:space="preserve"> interview</w:t>
      </w:r>
      <w:r w:rsidR="001A35D6">
        <w:rPr>
          <w:rFonts w:ascii="Times New Roman" w:hAnsi="Times New Roman"/>
          <w:sz w:val="24"/>
          <w:szCs w:val="24"/>
        </w:rPr>
        <w:t xml:space="preserve">s </w:t>
      </w:r>
      <w:r w:rsidRPr="00B053FF">
        <w:rPr>
          <w:rFonts w:ascii="Times New Roman" w:hAnsi="Times New Roman"/>
          <w:sz w:val="24"/>
          <w:szCs w:val="24"/>
        </w:rPr>
        <w:t>with long-time defense attorneys</w:t>
      </w:r>
      <w:r w:rsidR="009C42A9">
        <w:rPr>
          <w:rFonts w:ascii="Times New Roman" w:hAnsi="Times New Roman"/>
          <w:sz w:val="24"/>
          <w:szCs w:val="24"/>
        </w:rPr>
        <w:t xml:space="preserve"> and other actors</w:t>
      </w:r>
      <w:r w:rsidRPr="00B053FF">
        <w:rPr>
          <w:rFonts w:ascii="Times New Roman" w:hAnsi="Times New Roman"/>
          <w:sz w:val="24"/>
          <w:szCs w:val="24"/>
        </w:rPr>
        <w:t xml:space="preserve"> </w:t>
      </w:r>
      <w:r w:rsidR="003638F7">
        <w:rPr>
          <w:rFonts w:ascii="Times New Roman" w:hAnsi="Times New Roman"/>
          <w:sz w:val="24"/>
          <w:szCs w:val="24"/>
        </w:rPr>
        <w:t>for insights that speak</w:t>
      </w:r>
      <w:r w:rsidRPr="00B053FF">
        <w:rPr>
          <w:rFonts w:ascii="Times New Roman" w:hAnsi="Times New Roman"/>
          <w:sz w:val="24"/>
          <w:szCs w:val="24"/>
        </w:rPr>
        <w:t xml:space="preserve"> directly to how policy change, especially the </w:t>
      </w:r>
      <w:r w:rsidRPr="00B053FF">
        <w:rPr>
          <w:rFonts w:ascii="Times New Roman" w:hAnsi="Times New Roman"/>
          <w:i/>
          <w:sz w:val="24"/>
          <w:szCs w:val="24"/>
        </w:rPr>
        <w:lastRenderedPageBreak/>
        <w:t xml:space="preserve">Booker </w:t>
      </w:r>
      <w:r w:rsidRPr="00B053FF">
        <w:rPr>
          <w:rFonts w:ascii="Times New Roman" w:hAnsi="Times New Roman"/>
          <w:sz w:val="24"/>
          <w:szCs w:val="24"/>
        </w:rPr>
        <w:t>case, opened up new possibilities</w:t>
      </w:r>
      <w:r w:rsidR="003638F7">
        <w:rPr>
          <w:rFonts w:ascii="Times New Roman" w:hAnsi="Times New Roman"/>
          <w:sz w:val="24"/>
          <w:szCs w:val="24"/>
        </w:rPr>
        <w:t xml:space="preserve"> for the defense—or not—</w:t>
      </w:r>
      <w:r w:rsidRPr="00B053FF">
        <w:rPr>
          <w:rFonts w:ascii="Times New Roman" w:hAnsi="Times New Roman"/>
          <w:sz w:val="24"/>
          <w:szCs w:val="24"/>
        </w:rPr>
        <w:t xml:space="preserve">depending upon the specific court. </w:t>
      </w:r>
    </w:p>
    <w:p w14:paraId="1117DBBC" w14:textId="16898D26" w:rsidR="006304B5" w:rsidRDefault="000F44FA" w:rsidP="00DB53F8">
      <w:pPr>
        <w:pStyle w:val="PlainText"/>
        <w:spacing w:line="480" w:lineRule="auto"/>
        <w:ind w:right="-36" w:firstLine="720"/>
        <w:rPr>
          <w:rFonts w:ascii="Times New Roman" w:hAnsi="Times New Roman"/>
          <w:sz w:val="24"/>
          <w:szCs w:val="24"/>
        </w:rPr>
      </w:pPr>
      <w:r w:rsidRPr="00B053FF">
        <w:rPr>
          <w:rFonts w:ascii="Times New Roman" w:hAnsi="Times New Roman"/>
          <w:sz w:val="24"/>
          <w:szCs w:val="24"/>
        </w:rPr>
        <w:t xml:space="preserve">The final </w:t>
      </w:r>
      <w:r w:rsidR="00042760" w:rsidRPr="00B053FF">
        <w:rPr>
          <w:rFonts w:ascii="Times New Roman" w:hAnsi="Times New Roman"/>
          <w:sz w:val="24"/>
          <w:szCs w:val="24"/>
        </w:rPr>
        <w:t>chapter, Chapter</w:t>
      </w:r>
      <w:r w:rsidRPr="00B053FF">
        <w:rPr>
          <w:rFonts w:ascii="Times New Roman" w:hAnsi="Times New Roman"/>
          <w:sz w:val="24"/>
          <w:szCs w:val="24"/>
        </w:rPr>
        <w:t xml:space="preserve"> </w:t>
      </w:r>
      <w:r w:rsidR="003F2536">
        <w:rPr>
          <w:rFonts w:ascii="Times New Roman" w:hAnsi="Times New Roman"/>
          <w:sz w:val="24"/>
          <w:szCs w:val="24"/>
        </w:rPr>
        <w:t>7</w:t>
      </w:r>
      <w:r w:rsidR="00042760" w:rsidRPr="00B053FF">
        <w:rPr>
          <w:rFonts w:ascii="Times New Roman" w:hAnsi="Times New Roman"/>
          <w:sz w:val="24"/>
          <w:szCs w:val="24"/>
        </w:rPr>
        <w:t xml:space="preserve">, </w:t>
      </w:r>
      <w:r w:rsidRPr="00B053FF">
        <w:rPr>
          <w:rFonts w:ascii="Times New Roman" w:hAnsi="Times New Roman"/>
          <w:sz w:val="24"/>
          <w:szCs w:val="24"/>
        </w:rPr>
        <w:t xml:space="preserve">first steps outside of the court arena to look at </w:t>
      </w:r>
      <w:r w:rsidR="00D270B9" w:rsidRPr="00B053FF">
        <w:rPr>
          <w:rFonts w:ascii="Times New Roman" w:hAnsi="Times New Roman"/>
          <w:sz w:val="24"/>
          <w:szCs w:val="24"/>
        </w:rPr>
        <w:t xml:space="preserve">the broader impact of these laws on </w:t>
      </w:r>
      <w:r w:rsidRPr="00B053FF">
        <w:rPr>
          <w:rFonts w:ascii="Times New Roman" w:hAnsi="Times New Roman"/>
          <w:sz w:val="24"/>
          <w:szCs w:val="24"/>
        </w:rPr>
        <w:t>individuals and communities in order to highlight the human impact of the drug war. Within this analysis, I address whether and how the federal drug war erodes law’s legitimacy among those directly affected. I conclude by asking whether we should be cautiously optimistic (or hopefully pessimistic) about possibility of meaningful retrenchment. In doing so, I offer a set of very specific recommendations that have the potential to significantly re</w:t>
      </w:r>
      <w:r w:rsidR="007D6BA9" w:rsidRPr="00B053FF">
        <w:rPr>
          <w:rFonts w:ascii="Times New Roman" w:hAnsi="Times New Roman"/>
          <w:sz w:val="24"/>
          <w:szCs w:val="24"/>
        </w:rPr>
        <w:t xml:space="preserve">apportion </w:t>
      </w:r>
      <w:r w:rsidRPr="00B053FF">
        <w:rPr>
          <w:rFonts w:ascii="Times New Roman" w:hAnsi="Times New Roman"/>
          <w:sz w:val="24"/>
          <w:szCs w:val="24"/>
        </w:rPr>
        <w:t>the distribution of legal power</w:t>
      </w:r>
      <w:r w:rsidR="007F1B2D">
        <w:rPr>
          <w:rFonts w:ascii="Times New Roman" w:hAnsi="Times New Roman"/>
          <w:sz w:val="24"/>
          <w:szCs w:val="24"/>
        </w:rPr>
        <w:t>, reign in the most draconian elements of drug-related federal law,</w:t>
      </w:r>
      <w:r w:rsidRPr="00B053FF">
        <w:rPr>
          <w:rFonts w:ascii="Times New Roman" w:hAnsi="Times New Roman"/>
          <w:sz w:val="24"/>
          <w:szCs w:val="24"/>
        </w:rPr>
        <w:t xml:space="preserve"> and decrease the exorbitant cost </w:t>
      </w:r>
      <w:r w:rsidR="007D6BA9" w:rsidRPr="00B053FF">
        <w:rPr>
          <w:rFonts w:ascii="Times New Roman" w:hAnsi="Times New Roman"/>
          <w:sz w:val="24"/>
          <w:szCs w:val="24"/>
        </w:rPr>
        <w:t xml:space="preserve">for defendants </w:t>
      </w:r>
      <w:r w:rsidRPr="00B053FF">
        <w:rPr>
          <w:rFonts w:ascii="Times New Roman" w:hAnsi="Times New Roman"/>
          <w:sz w:val="24"/>
          <w:szCs w:val="24"/>
        </w:rPr>
        <w:t xml:space="preserve">associated with exercising </w:t>
      </w:r>
      <w:r w:rsidR="007D6BA9" w:rsidRPr="00B053FF">
        <w:rPr>
          <w:rFonts w:ascii="Times New Roman" w:hAnsi="Times New Roman"/>
          <w:sz w:val="24"/>
          <w:szCs w:val="24"/>
        </w:rPr>
        <w:t xml:space="preserve">their fundamental </w:t>
      </w:r>
      <w:r w:rsidRPr="00B053FF">
        <w:rPr>
          <w:rFonts w:ascii="Times New Roman" w:hAnsi="Times New Roman"/>
          <w:sz w:val="24"/>
          <w:szCs w:val="24"/>
        </w:rPr>
        <w:t xml:space="preserve">procedural rights in the federal criminal system. </w:t>
      </w:r>
    </w:p>
    <w:p w14:paraId="338313C3" w14:textId="038AA11E" w:rsidR="00A33A89" w:rsidRPr="00B053FF" w:rsidRDefault="00A33A89" w:rsidP="00C82B86">
      <w:pPr>
        <w:spacing w:after="200"/>
        <w:rPr>
          <w:rFonts w:ascii="Times New Roman" w:hAnsi="Times New Roman"/>
          <w:szCs w:val="24"/>
        </w:rPr>
      </w:pPr>
    </w:p>
    <w:sectPr w:rsidR="00A33A89" w:rsidRPr="00B053FF" w:rsidSect="00C82B86">
      <w:headerReference w:type="default" r:id="rId8"/>
      <w:footerReference w:type="even" r:id="rId9"/>
      <w:footerReference w:type="default" r:id="rId10"/>
      <w:pgSz w:w="12240" w:h="15840"/>
      <w:pgMar w:top="1440" w:right="135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E08E99" w14:textId="77777777" w:rsidR="00177B31" w:rsidRDefault="00177B31" w:rsidP="000F44FA">
      <w:r>
        <w:separator/>
      </w:r>
    </w:p>
  </w:endnote>
  <w:endnote w:type="continuationSeparator" w:id="0">
    <w:p w14:paraId="26D1E0AB" w14:textId="77777777" w:rsidR="00177B31" w:rsidRDefault="00177B31" w:rsidP="000F44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Verdana">
    <w:panose1 w:val="020B0604030504040204"/>
    <w:charset w:val="00"/>
    <w:family w:val="auto"/>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3BD5B1" w14:textId="77777777" w:rsidR="00B64A32" w:rsidRDefault="00B64A32" w:rsidP="003A24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19F7357" w14:textId="77777777" w:rsidR="00B64A32" w:rsidRDefault="00B64A3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81CD0D" w14:textId="77777777" w:rsidR="00B64A32" w:rsidRDefault="00B64A32" w:rsidP="003A243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9795F">
      <w:rPr>
        <w:rStyle w:val="PageNumber"/>
        <w:noProof/>
      </w:rPr>
      <w:t>1</w:t>
    </w:r>
    <w:r>
      <w:rPr>
        <w:rStyle w:val="PageNumber"/>
      </w:rPr>
      <w:fldChar w:fldCharType="end"/>
    </w:r>
  </w:p>
  <w:p w14:paraId="10A12A87" w14:textId="77777777" w:rsidR="00B64A32" w:rsidRDefault="00B64A32" w:rsidP="00AC32FE">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468FF3" w14:textId="77777777" w:rsidR="00177B31" w:rsidRDefault="00177B31" w:rsidP="000F44FA">
      <w:r>
        <w:separator/>
      </w:r>
    </w:p>
  </w:footnote>
  <w:footnote w:type="continuationSeparator" w:id="0">
    <w:p w14:paraId="2CE2C1BE" w14:textId="77777777" w:rsidR="00177B31" w:rsidRDefault="00177B31" w:rsidP="000F44FA">
      <w:r>
        <w:continuationSeparator/>
      </w:r>
    </w:p>
  </w:footnote>
  <w:footnote w:id="1">
    <w:p w14:paraId="119B6CBA" w14:textId="2DBC1C49" w:rsidR="00B64A32" w:rsidRDefault="00B64A32" w:rsidP="00DC595B">
      <w:pPr>
        <w:pStyle w:val="FootnoteText"/>
      </w:pPr>
      <w:r>
        <w:rPr>
          <w:rStyle w:val="FootnoteReference"/>
        </w:rPr>
        <w:footnoteRef/>
      </w:r>
      <w:r>
        <w:t xml:space="preserve"> </w:t>
      </w:r>
      <w:r w:rsidRPr="004316BE">
        <w:rPr>
          <w:sz w:val="20"/>
          <w:szCs w:val="20"/>
        </w:rPr>
        <w:t>This is a pseudonym.</w:t>
      </w:r>
    </w:p>
  </w:footnote>
  <w:footnote w:id="2">
    <w:p w14:paraId="052C9783" w14:textId="77777777" w:rsidR="00B64A32" w:rsidRDefault="00B64A32" w:rsidP="009E1310">
      <w:pPr>
        <w:pStyle w:val="FootnoteText"/>
      </w:pPr>
      <w:r>
        <w:rPr>
          <w:rStyle w:val="FootnoteReference"/>
        </w:rPr>
        <w:footnoteRef/>
      </w:r>
      <w:r>
        <w:t xml:space="preserve"> </w:t>
      </w:r>
      <w:r w:rsidRPr="004316BE">
        <w:rPr>
          <w:sz w:val="20"/>
          <w:szCs w:val="20"/>
        </w:rPr>
        <w:t>Murakawa, 2014.</w:t>
      </w:r>
    </w:p>
  </w:footnote>
  <w:footnote w:id="3">
    <w:p w14:paraId="20316532" w14:textId="43AA4B5F" w:rsidR="00B64A32" w:rsidRDefault="00B64A32" w:rsidP="00DC595B">
      <w:pPr>
        <w:pStyle w:val="FootnoteText"/>
      </w:pPr>
      <w:r>
        <w:rPr>
          <w:rStyle w:val="FootnoteReference"/>
        </w:rPr>
        <w:footnoteRef/>
      </w:r>
      <w:r>
        <w:t xml:space="preserve"> </w:t>
      </w:r>
      <w:r w:rsidRPr="00FD7461">
        <w:rPr>
          <w:sz w:val="20"/>
          <w:szCs w:val="20"/>
        </w:rPr>
        <w:t>See especially, Provine, 2007.</w:t>
      </w:r>
    </w:p>
  </w:footnote>
  <w:footnote w:id="4">
    <w:p w14:paraId="70493049" w14:textId="365F8B15" w:rsidR="00B64A32" w:rsidRDefault="00B64A32">
      <w:pPr>
        <w:pStyle w:val="FootnoteText"/>
      </w:pPr>
      <w:r>
        <w:rPr>
          <w:rStyle w:val="FootnoteReference"/>
        </w:rPr>
        <w:footnoteRef/>
      </w:r>
      <w:r>
        <w:t xml:space="preserve"> </w:t>
      </w:r>
      <w:r w:rsidRPr="00FD7461">
        <w:rPr>
          <w:sz w:val="20"/>
          <w:szCs w:val="20"/>
        </w:rPr>
        <w:t>Alexander, 2010; Lynch, 2012; Murakawa, 2014; Ulmer, 2012.</w:t>
      </w:r>
    </w:p>
  </w:footnote>
  <w:footnote w:id="5">
    <w:p w14:paraId="760FB6EC" w14:textId="0A677807" w:rsidR="00B64A32" w:rsidRDefault="00B64A32">
      <w:pPr>
        <w:pStyle w:val="FootnoteText"/>
      </w:pPr>
      <w:r>
        <w:rPr>
          <w:rStyle w:val="FootnoteReference"/>
        </w:rPr>
        <w:footnoteRef/>
      </w:r>
      <w:r>
        <w:t xml:space="preserve"> </w:t>
      </w:r>
      <w:r w:rsidRPr="00FD7461">
        <w:rPr>
          <w:sz w:val="20"/>
          <w:szCs w:val="20"/>
        </w:rPr>
        <w:t xml:space="preserve">This work hopes to follow in the footsteps of the early mixed methods comparative studies of how local actors worked under the brand new Guidelines done by Steven </w:t>
      </w:r>
      <w:r w:rsidRPr="00FD7461">
        <w:rPr>
          <w:rFonts w:cs="Verdana"/>
          <w:sz w:val="20"/>
          <w:szCs w:val="20"/>
        </w:rPr>
        <w:t xml:space="preserve">Schulhofer &amp; Ilene Nagel (1989) (also </w:t>
      </w:r>
      <w:r w:rsidRPr="00FD7461">
        <w:rPr>
          <w:sz w:val="20"/>
          <w:szCs w:val="20"/>
        </w:rPr>
        <w:t xml:space="preserve">Nagel &amp; </w:t>
      </w:r>
      <w:r w:rsidRPr="00FD7461">
        <w:rPr>
          <w:rFonts w:cs="Verdana"/>
          <w:sz w:val="20"/>
          <w:szCs w:val="20"/>
        </w:rPr>
        <w:t>Schulhofer, 1992;  Schulhofer, 1996).</w:t>
      </w:r>
    </w:p>
  </w:footnote>
  <w:footnote w:id="6">
    <w:p w14:paraId="76BF885A" w14:textId="29C815FB" w:rsidR="00B64A32" w:rsidRDefault="00B64A32">
      <w:pPr>
        <w:pStyle w:val="FootnoteText"/>
      </w:pPr>
      <w:r>
        <w:rPr>
          <w:rStyle w:val="FootnoteReference"/>
        </w:rPr>
        <w:footnoteRef/>
      </w:r>
      <w:r>
        <w:t xml:space="preserve"> </w:t>
      </w:r>
      <w:r w:rsidRPr="00526D46">
        <w:rPr>
          <w:sz w:val="20"/>
          <w:szCs w:val="20"/>
        </w:rPr>
        <w:t xml:space="preserve">See full statement of principles at </w:t>
      </w:r>
      <w:hyperlink r:id="rId1" w:history="1">
        <w:r w:rsidRPr="00526D46">
          <w:rPr>
            <w:rStyle w:val="Hyperlink"/>
            <w:sz w:val="20"/>
            <w:szCs w:val="20"/>
          </w:rPr>
          <w:t>http://www.rightoncrime.com/the-conservative-case-for-reform/statement-of-principles/</w:t>
        </w:r>
      </w:hyperlink>
      <w:r w:rsidRPr="00526D46">
        <w:rPr>
          <w:sz w:val="20"/>
          <w:szCs w:val="20"/>
        </w:rPr>
        <w:t>.</w:t>
      </w:r>
      <w:r>
        <w:t xml:space="preserve"> </w:t>
      </w:r>
    </w:p>
  </w:footnote>
  <w:footnote w:id="7">
    <w:p w14:paraId="5C783C4C" w14:textId="6DF9A3A0" w:rsidR="00B64A32" w:rsidRDefault="00B64A32">
      <w:pPr>
        <w:pStyle w:val="FootnoteText"/>
      </w:pPr>
      <w:r>
        <w:rPr>
          <w:rStyle w:val="FootnoteReference"/>
        </w:rPr>
        <w:footnoteRef/>
      </w:r>
      <w:r>
        <w:t xml:space="preserve"> </w:t>
      </w:r>
      <w:r w:rsidRPr="00526D46">
        <w:rPr>
          <w:sz w:val="20"/>
          <w:szCs w:val="20"/>
        </w:rPr>
        <w:t xml:space="preserve">See, for example, California Attorney General Kamala Harris’s 2010 book (with Joan O’C. Hamilton), </w:t>
      </w:r>
      <w:r>
        <w:rPr>
          <w:i/>
          <w:sz w:val="20"/>
          <w:szCs w:val="20"/>
        </w:rPr>
        <w:t>Smart on Crime: A Career Prosecutor’s Plan to M</w:t>
      </w:r>
      <w:r w:rsidRPr="00B05D97">
        <w:rPr>
          <w:i/>
          <w:sz w:val="20"/>
          <w:szCs w:val="20"/>
        </w:rPr>
        <w:t>ake Us Safer</w:t>
      </w:r>
      <w:r w:rsidRPr="00526D46">
        <w:rPr>
          <w:sz w:val="20"/>
          <w:szCs w:val="20"/>
        </w:rPr>
        <w:t>, Chronicle Books</w:t>
      </w:r>
      <w:r>
        <w:rPr>
          <w:sz w:val="20"/>
          <w:szCs w:val="20"/>
        </w:rPr>
        <w:t xml:space="preserve">. Critiques of the logic underpinning these reform efforts can be found in Marie Gottschalk (2014). </w:t>
      </w:r>
      <w:r w:rsidRPr="00B05D97">
        <w:rPr>
          <w:i/>
          <w:sz w:val="20"/>
          <w:szCs w:val="20"/>
        </w:rPr>
        <w:t xml:space="preserve">Caught: The Prison State and the Lockdown of American Politics, </w:t>
      </w:r>
      <w:r>
        <w:rPr>
          <w:sz w:val="20"/>
          <w:szCs w:val="20"/>
        </w:rPr>
        <w:t xml:space="preserve">Princeton, NJ: Princeton University Press and Hadar Aviram (2015). </w:t>
      </w:r>
      <w:r w:rsidRPr="00B05D97">
        <w:rPr>
          <w:i/>
          <w:sz w:val="20"/>
          <w:szCs w:val="20"/>
        </w:rPr>
        <w:t>Cheap on Crime: Recession-Era Politics and the Transformation of American Punishment,</w:t>
      </w:r>
      <w:r>
        <w:rPr>
          <w:sz w:val="20"/>
          <w:szCs w:val="20"/>
        </w:rPr>
        <w:t xml:space="preserve"> Berkeley, CA: UC Press. </w:t>
      </w:r>
    </w:p>
  </w:footnote>
  <w:footnote w:id="8">
    <w:p w14:paraId="7787108D" w14:textId="61D5A52C" w:rsidR="00B64A32" w:rsidRDefault="00B64A32">
      <w:pPr>
        <w:pStyle w:val="FootnoteText"/>
      </w:pPr>
      <w:r>
        <w:rPr>
          <w:rStyle w:val="FootnoteReference"/>
        </w:rPr>
        <w:footnoteRef/>
      </w:r>
      <w:r>
        <w:t xml:space="preserve"> </w:t>
      </w:r>
      <w:r w:rsidRPr="00B05D97">
        <w:rPr>
          <w:sz w:val="20"/>
          <w:szCs w:val="20"/>
        </w:rPr>
        <w:t>Gottschalk, 2014.</w:t>
      </w:r>
      <w:r>
        <w:t xml:space="preserve"> </w:t>
      </w:r>
    </w:p>
  </w:footnote>
  <w:footnote w:id="9">
    <w:p w14:paraId="3475E6D9" w14:textId="5B6A3D7E" w:rsidR="00B64A32" w:rsidRDefault="00B64A32">
      <w:pPr>
        <w:pStyle w:val="FootnoteText"/>
      </w:pPr>
      <w:r>
        <w:rPr>
          <w:rStyle w:val="FootnoteReference"/>
        </w:rPr>
        <w:footnoteRef/>
      </w:r>
      <w:r>
        <w:t xml:space="preserve"> </w:t>
      </w:r>
      <w:r w:rsidRPr="00B05D97">
        <w:rPr>
          <w:sz w:val="20"/>
          <w:szCs w:val="20"/>
        </w:rPr>
        <w:t>USSC Sourcebook (2006); BJS Felony Sentences in State Courts, 2006 (2009).</w:t>
      </w:r>
    </w:p>
  </w:footnote>
  <w:footnote w:id="10">
    <w:p w14:paraId="3A523B5F" w14:textId="0D656B0B" w:rsidR="00B64A32" w:rsidRPr="005303EF" w:rsidRDefault="00B64A32">
      <w:pPr>
        <w:pStyle w:val="FootnoteText"/>
      </w:pPr>
      <w:r>
        <w:rPr>
          <w:rStyle w:val="FootnoteReference"/>
        </w:rPr>
        <w:footnoteRef/>
      </w:r>
      <w:r w:rsidRPr="005303EF">
        <w:t xml:space="preserve"> </w:t>
      </w:r>
      <w:r w:rsidRPr="00691584">
        <w:rPr>
          <w:sz w:val="20"/>
          <w:szCs w:val="20"/>
        </w:rPr>
        <w:t>1990 USSC Annual Report p. 1.</w:t>
      </w:r>
      <w:r w:rsidRPr="005303EF">
        <w:t xml:space="preserve"> </w:t>
      </w:r>
    </w:p>
  </w:footnote>
  <w:footnote w:id="11">
    <w:p w14:paraId="7773A5D4" w14:textId="72BE2667" w:rsidR="00B64A32" w:rsidRDefault="00B64A32">
      <w:pPr>
        <w:pStyle w:val="FootnoteText"/>
      </w:pPr>
      <w:r w:rsidRPr="005303EF">
        <w:rPr>
          <w:rStyle w:val="FootnoteReference"/>
        </w:rPr>
        <w:footnoteRef/>
      </w:r>
      <w:r w:rsidRPr="005303EF">
        <w:t xml:space="preserve">  </w:t>
      </w:r>
      <w:r w:rsidRPr="00691584">
        <w:rPr>
          <w:sz w:val="20"/>
          <w:szCs w:val="20"/>
        </w:rPr>
        <w:t>Johnson, et al., 2008; Lynch and Omori, 2014; Kautt, 2002; Wu and Spohn, 2010.</w:t>
      </w:r>
    </w:p>
  </w:footnote>
  <w:footnote w:id="12">
    <w:p w14:paraId="544F28FD" w14:textId="27A0307E" w:rsidR="00B64A32" w:rsidRDefault="00B64A32">
      <w:pPr>
        <w:pStyle w:val="FootnoteText"/>
      </w:pPr>
      <w:r>
        <w:rPr>
          <w:rStyle w:val="FootnoteReference"/>
        </w:rPr>
        <w:footnoteRef/>
      </w:r>
      <w:r>
        <w:t xml:space="preserve">  </w:t>
      </w:r>
      <w:r w:rsidRPr="00691584">
        <w:rPr>
          <w:sz w:val="20"/>
          <w:szCs w:val="20"/>
        </w:rPr>
        <w:t>Welch and Thompson (1980).</w:t>
      </w:r>
    </w:p>
  </w:footnote>
  <w:footnote w:id="13">
    <w:p w14:paraId="31D57F25" w14:textId="47710F4A" w:rsidR="00B64A32" w:rsidRDefault="00B64A32">
      <w:pPr>
        <w:pStyle w:val="FootnoteText"/>
      </w:pPr>
      <w:r>
        <w:rPr>
          <w:rStyle w:val="FootnoteReference"/>
        </w:rPr>
        <w:footnoteRef/>
      </w:r>
      <w:r>
        <w:t xml:space="preserve">  </w:t>
      </w:r>
      <w:r w:rsidRPr="00691584">
        <w:rPr>
          <w:sz w:val="20"/>
          <w:szCs w:val="20"/>
        </w:rPr>
        <w:t xml:space="preserve">See, especially, </w:t>
      </w:r>
      <w:r>
        <w:rPr>
          <w:sz w:val="20"/>
          <w:szCs w:val="20"/>
        </w:rPr>
        <w:t xml:space="preserve">Michelle </w:t>
      </w:r>
      <w:r w:rsidRPr="00691584">
        <w:rPr>
          <w:sz w:val="20"/>
          <w:szCs w:val="20"/>
        </w:rPr>
        <w:t>Alexander (2010).</w:t>
      </w:r>
    </w:p>
  </w:footnote>
  <w:footnote w:id="14">
    <w:p w14:paraId="0B1DB625" w14:textId="2BFFDB01" w:rsidR="00B64A32" w:rsidRDefault="00B64A32">
      <w:pPr>
        <w:pStyle w:val="FootnoteText"/>
      </w:pPr>
      <w:r>
        <w:rPr>
          <w:rStyle w:val="FootnoteReference"/>
        </w:rPr>
        <w:footnoteRef/>
      </w:r>
      <w:r>
        <w:t xml:space="preserve"> </w:t>
      </w:r>
      <w:r w:rsidRPr="00691584">
        <w:rPr>
          <w:sz w:val="20"/>
          <w:szCs w:val="20"/>
        </w:rPr>
        <w:t>US Sentencing Commission (2004).</w:t>
      </w:r>
    </w:p>
  </w:footnote>
  <w:footnote w:id="15">
    <w:p w14:paraId="6AA6D54C" w14:textId="39B0D8B6" w:rsidR="00B64A32" w:rsidRDefault="00B64A32">
      <w:pPr>
        <w:pStyle w:val="FootnoteText"/>
      </w:pPr>
      <w:r>
        <w:rPr>
          <w:rStyle w:val="FootnoteReference"/>
        </w:rPr>
        <w:footnoteRef/>
      </w:r>
      <w:r>
        <w:t xml:space="preserve"> </w:t>
      </w:r>
      <w:r w:rsidRPr="00691584">
        <w:rPr>
          <w:sz w:val="20"/>
          <w:szCs w:val="20"/>
        </w:rPr>
        <w:t>Lynch, 2011; Beckett, Nyrop and Pfingst, 2006.</w:t>
      </w:r>
    </w:p>
  </w:footnote>
  <w:footnote w:id="16">
    <w:p w14:paraId="08F9107A" w14:textId="77777777" w:rsidR="00B64A32" w:rsidRDefault="00B64A32" w:rsidP="004E4FA4">
      <w:pPr>
        <w:pStyle w:val="FootnoteText"/>
      </w:pPr>
      <w:r>
        <w:rPr>
          <w:rStyle w:val="FootnoteReference"/>
        </w:rPr>
        <w:footnoteRef/>
      </w:r>
      <w:r>
        <w:t xml:space="preserve"> </w:t>
      </w:r>
      <w:r w:rsidRPr="00691584">
        <w:rPr>
          <w:i/>
          <w:sz w:val="20"/>
          <w:szCs w:val="20"/>
        </w:rPr>
        <w:t>United States v. Booker,</w:t>
      </w:r>
      <w:r w:rsidRPr="00691584">
        <w:rPr>
          <w:sz w:val="20"/>
          <w:szCs w:val="20"/>
        </w:rPr>
        <w:t xml:space="preserve"> 2005; </w:t>
      </w:r>
      <w:r w:rsidRPr="00691584">
        <w:rPr>
          <w:i/>
          <w:sz w:val="20"/>
          <w:szCs w:val="20"/>
        </w:rPr>
        <w:t xml:space="preserve">Kimbrough v. United States, </w:t>
      </w:r>
      <w:r w:rsidRPr="00691584">
        <w:rPr>
          <w:sz w:val="20"/>
          <w:szCs w:val="20"/>
        </w:rPr>
        <w:t>2007.</w:t>
      </w:r>
    </w:p>
  </w:footnote>
  <w:footnote w:id="17">
    <w:p w14:paraId="55F9C7BD" w14:textId="4665EDFE" w:rsidR="00B64A32" w:rsidRDefault="00B64A32" w:rsidP="004E4FA4">
      <w:pPr>
        <w:pStyle w:val="FootnoteText"/>
      </w:pPr>
      <w:r>
        <w:rPr>
          <w:rStyle w:val="FootnoteReference"/>
        </w:rPr>
        <w:footnoteRef/>
      </w:r>
      <w:r>
        <w:t xml:space="preserve"> </w:t>
      </w:r>
      <w:r w:rsidRPr="00691584">
        <w:rPr>
          <w:sz w:val="20"/>
          <w:szCs w:val="20"/>
        </w:rPr>
        <w:t>Holder, 2013.</w:t>
      </w:r>
      <w:r>
        <w:rPr>
          <w:sz w:val="20"/>
          <w:szCs w:val="20"/>
        </w:rPr>
        <w:t xml:space="preserve"> Primarily, U.S. Attorneys were directed not to specify drug weights that would trigger long mandatory minimums in their charging documents when the defendant met certain criteria. </w:t>
      </w:r>
    </w:p>
  </w:footnote>
  <w:footnote w:id="18">
    <w:p w14:paraId="7AFC08B8" w14:textId="147008E3" w:rsidR="00B64A32" w:rsidRPr="003B3392" w:rsidRDefault="00B64A32" w:rsidP="003B3392">
      <w:pPr>
        <w:widowControl w:val="0"/>
        <w:autoSpaceDE w:val="0"/>
        <w:autoSpaceDN w:val="0"/>
        <w:adjustRightInd w:val="0"/>
        <w:spacing w:after="160" w:line="276" w:lineRule="auto"/>
        <w:rPr>
          <w:rFonts w:eastAsia="Times New Roman"/>
          <w:color w:val="000000"/>
          <w:szCs w:val="24"/>
          <w:shd w:val="clear" w:color="auto" w:fill="FFFFFF"/>
        </w:rPr>
      </w:pPr>
      <w:r>
        <w:rPr>
          <w:rStyle w:val="FootnoteReference"/>
        </w:rPr>
        <w:footnoteRef/>
      </w:r>
      <w:r>
        <w:t xml:space="preserve"> </w:t>
      </w:r>
      <w:r w:rsidRPr="00691584">
        <w:rPr>
          <w:rFonts w:ascii="Times New Roman" w:hAnsi="Times New Roman"/>
          <w:sz w:val="20"/>
        </w:rPr>
        <w:t xml:space="preserve">See, for example, the August 13, 2013 </w:t>
      </w:r>
      <w:r w:rsidRPr="00691584">
        <w:rPr>
          <w:rFonts w:ascii="Times New Roman" w:hAnsi="Times New Roman"/>
          <w:i/>
          <w:sz w:val="20"/>
        </w:rPr>
        <w:t>New York Times</w:t>
      </w:r>
      <w:r w:rsidRPr="00691584">
        <w:rPr>
          <w:rFonts w:ascii="Times New Roman" w:hAnsi="Times New Roman"/>
          <w:sz w:val="20"/>
        </w:rPr>
        <w:t xml:space="preserve"> editorial characterizing Holder’s announcement of the revised charging policy as a “</w:t>
      </w:r>
      <w:r w:rsidRPr="00691584">
        <w:rPr>
          <w:rFonts w:ascii="Times New Roman" w:eastAsia="Times New Roman" w:hAnsi="Times New Roman"/>
          <w:color w:val="000000"/>
          <w:sz w:val="20"/>
          <w:shd w:val="clear" w:color="auto" w:fill="FFFFFF"/>
        </w:rPr>
        <w:t>transformational moment,” part of a sea change in criminal justice policy in the United States (</w:t>
      </w:r>
      <w:r w:rsidRPr="00691584">
        <w:rPr>
          <w:rFonts w:ascii="Times New Roman" w:eastAsia="Times New Roman" w:hAnsi="Times New Roman"/>
          <w:i/>
          <w:color w:val="000000"/>
          <w:sz w:val="20"/>
          <w:shd w:val="clear" w:color="auto" w:fill="FFFFFF"/>
        </w:rPr>
        <w:t xml:space="preserve">NY Times </w:t>
      </w:r>
      <w:r w:rsidRPr="00691584">
        <w:rPr>
          <w:rFonts w:ascii="Times New Roman" w:eastAsia="Times New Roman" w:hAnsi="Times New Roman"/>
          <w:color w:val="000000"/>
          <w:sz w:val="20"/>
          <w:shd w:val="clear" w:color="auto" w:fill="FFFFFF"/>
        </w:rPr>
        <w:t xml:space="preserve">Editorial Board (2013, August 13). Editorial: Smarter sentencing. </w:t>
      </w:r>
      <w:r w:rsidRPr="00691584">
        <w:rPr>
          <w:rFonts w:ascii="Times New Roman" w:eastAsia="Times New Roman" w:hAnsi="Times New Roman"/>
          <w:i/>
          <w:color w:val="000000"/>
          <w:sz w:val="20"/>
          <w:shd w:val="clear" w:color="auto" w:fill="FFFFFF"/>
        </w:rPr>
        <w:t xml:space="preserve">The New York Times. </w:t>
      </w:r>
      <w:r w:rsidRPr="00691584">
        <w:rPr>
          <w:rFonts w:ascii="Times New Roman" w:eastAsia="Times New Roman" w:hAnsi="Times New Roman"/>
          <w:color w:val="000000"/>
          <w:sz w:val="20"/>
          <w:shd w:val="clear" w:color="auto" w:fill="FFFFFF"/>
        </w:rPr>
        <w:t xml:space="preserve">Available at: </w:t>
      </w:r>
      <w:hyperlink r:id="rId2" w:history="1">
        <w:r w:rsidRPr="00691584">
          <w:rPr>
            <w:rStyle w:val="Hyperlink"/>
            <w:rFonts w:ascii="Times New Roman" w:eastAsia="Times New Roman" w:hAnsi="Times New Roman"/>
            <w:sz w:val="20"/>
            <w:shd w:val="clear" w:color="auto" w:fill="FFFFFF"/>
          </w:rPr>
          <w:t>http://www.nytimes.com/2013/08/14/opinion/smarter-sentencing.html?_r=0</w:t>
        </w:r>
      </w:hyperlink>
      <w:r w:rsidRPr="00691584">
        <w:rPr>
          <w:rFonts w:ascii="Times New Roman" w:eastAsia="Times New Roman" w:hAnsi="Times New Roman"/>
          <w:color w:val="000000"/>
          <w:sz w:val="20"/>
          <w:shd w:val="clear" w:color="auto" w:fill="FFFFFF"/>
        </w:rPr>
        <w:t>).</w:t>
      </w:r>
    </w:p>
  </w:footnote>
  <w:footnote w:id="19">
    <w:p w14:paraId="59B5DC14" w14:textId="2BC832E9" w:rsidR="00B64A32" w:rsidRDefault="00B64A32">
      <w:pPr>
        <w:pStyle w:val="FootnoteText"/>
      </w:pPr>
      <w:r>
        <w:rPr>
          <w:rStyle w:val="FootnoteReference"/>
        </w:rPr>
        <w:footnoteRef/>
      </w:r>
      <w:r>
        <w:t xml:space="preserve"> </w:t>
      </w:r>
      <w:r w:rsidRPr="00AA4EF9">
        <w:rPr>
          <w:sz w:val="20"/>
          <w:szCs w:val="20"/>
        </w:rPr>
        <w:t>Martin, 2011.</w:t>
      </w:r>
      <w:r>
        <w:t xml:space="preserve"> </w:t>
      </w:r>
    </w:p>
  </w:footnote>
  <w:footnote w:id="20">
    <w:p w14:paraId="3D050A07" w14:textId="203B266C" w:rsidR="00B64A32" w:rsidRDefault="00B64A32" w:rsidP="00AA4EF9">
      <w:pPr>
        <w:pStyle w:val="FootnoteText"/>
      </w:pPr>
      <w:r>
        <w:rPr>
          <w:rStyle w:val="FootnoteReference"/>
        </w:rPr>
        <w:footnoteRef/>
      </w:r>
      <w:r>
        <w:t xml:space="preserve"> </w:t>
      </w:r>
      <w:r w:rsidRPr="00AA4EF9">
        <w:rPr>
          <w:sz w:val="20"/>
          <w:szCs w:val="20"/>
        </w:rPr>
        <w:t>Foucault, (1982, 780).</w:t>
      </w:r>
    </w:p>
  </w:footnote>
  <w:footnote w:id="21">
    <w:p w14:paraId="055E74FB" w14:textId="0E77B5CF" w:rsidR="00B64A32" w:rsidRDefault="00B64A32" w:rsidP="00AA4EF9">
      <w:pPr>
        <w:pStyle w:val="FootnoteText"/>
      </w:pPr>
      <w:r>
        <w:rPr>
          <w:rStyle w:val="FootnoteReference"/>
        </w:rPr>
        <w:footnoteRef/>
      </w:r>
      <w:r>
        <w:t xml:space="preserve"> </w:t>
      </w:r>
      <w:r w:rsidRPr="00AA4EF9">
        <w:rPr>
          <w:sz w:val="20"/>
          <w:szCs w:val="20"/>
        </w:rPr>
        <w:t xml:space="preserve">Foucault, </w:t>
      </w:r>
      <w:r>
        <w:rPr>
          <w:sz w:val="20"/>
          <w:szCs w:val="20"/>
        </w:rPr>
        <w:t>(</w:t>
      </w:r>
      <w:r w:rsidRPr="00AA4EF9">
        <w:rPr>
          <w:sz w:val="20"/>
          <w:szCs w:val="20"/>
        </w:rPr>
        <w:t>1982</w:t>
      </w:r>
      <w:r>
        <w:rPr>
          <w:sz w:val="20"/>
          <w:szCs w:val="20"/>
        </w:rPr>
        <w:t>)</w:t>
      </w:r>
      <w:r w:rsidRPr="00AA4EF9">
        <w:rPr>
          <w:sz w:val="20"/>
          <w:szCs w:val="20"/>
        </w:rPr>
        <w:t>.</w:t>
      </w:r>
    </w:p>
  </w:footnote>
  <w:footnote w:id="22">
    <w:p w14:paraId="422F06C1" w14:textId="77777777" w:rsidR="00B64A32" w:rsidRDefault="00B64A32" w:rsidP="002B5304">
      <w:pPr>
        <w:pStyle w:val="FootnoteText"/>
      </w:pPr>
      <w:r>
        <w:rPr>
          <w:rStyle w:val="FootnoteReference"/>
        </w:rPr>
        <w:footnoteRef/>
      </w:r>
      <w:r>
        <w:t xml:space="preserve"> </w:t>
      </w:r>
      <w:r w:rsidRPr="00AA4EF9">
        <w:rPr>
          <w:sz w:val="20"/>
          <w:szCs w:val="20"/>
        </w:rPr>
        <w:t>Latour, (1986, 266).</w:t>
      </w:r>
      <w:r>
        <w:t xml:space="preserve"> </w:t>
      </w:r>
    </w:p>
  </w:footnote>
  <w:footnote w:id="23">
    <w:p w14:paraId="13BA6AC6" w14:textId="77777777" w:rsidR="00B64A32" w:rsidRDefault="00B64A32" w:rsidP="00AA4EF9">
      <w:pPr>
        <w:pStyle w:val="FootnoteText"/>
      </w:pPr>
      <w:r>
        <w:rPr>
          <w:rStyle w:val="FootnoteReference"/>
        </w:rPr>
        <w:footnoteRef/>
      </w:r>
      <w:r>
        <w:t xml:space="preserve"> </w:t>
      </w:r>
      <w:r w:rsidRPr="00AA4EF9">
        <w:rPr>
          <w:sz w:val="20"/>
          <w:szCs w:val="20"/>
        </w:rPr>
        <w:t>Cite Lukes here.</w:t>
      </w:r>
      <w:r>
        <w:t xml:space="preserve"> </w:t>
      </w:r>
    </w:p>
  </w:footnote>
  <w:footnote w:id="24">
    <w:p w14:paraId="0DD2C694" w14:textId="2E2C6A96" w:rsidR="00B64A32" w:rsidRDefault="00B64A32">
      <w:pPr>
        <w:pStyle w:val="FootnoteText"/>
      </w:pPr>
      <w:r>
        <w:rPr>
          <w:rStyle w:val="FootnoteReference"/>
        </w:rPr>
        <w:footnoteRef/>
      </w:r>
      <w:r>
        <w:t xml:space="preserve"> </w:t>
      </w:r>
      <w:r w:rsidRPr="00C82B86">
        <w:rPr>
          <w:sz w:val="20"/>
          <w:szCs w:val="20"/>
        </w:rPr>
        <w:t>I recognize that the legislative process itself can be a realization of power, to the extent that this process is used for political gain and/or as symbolic signaling, as I have previously examined in regard to sex offender law-making (Lynch, 2002).</w:t>
      </w:r>
      <w:r>
        <w:t xml:space="preserve"> </w:t>
      </w:r>
    </w:p>
  </w:footnote>
  <w:footnote w:id="25">
    <w:p w14:paraId="719EDA22" w14:textId="183DC6BE" w:rsidR="00B64A32" w:rsidRDefault="00B64A32" w:rsidP="00AA4EF9">
      <w:pPr>
        <w:pStyle w:val="FootnoteText"/>
      </w:pPr>
      <w:r>
        <w:rPr>
          <w:rStyle w:val="FootnoteReference"/>
        </w:rPr>
        <w:footnoteRef/>
      </w:r>
      <w:r>
        <w:t xml:space="preserve"> </w:t>
      </w:r>
      <w:r w:rsidRPr="00AA4EF9">
        <w:rPr>
          <w:sz w:val="20"/>
          <w:szCs w:val="20"/>
        </w:rPr>
        <w:t>Foucault, (1982, 786).</w:t>
      </w:r>
    </w:p>
  </w:footnote>
  <w:footnote w:id="26">
    <w:p w14:paraId="762350FF" w14:textId="77777777" w:rsidR="00B64A32" w:rsidRDefault="00B64A32" w:rsidP="00AA4EF9">
      <w:pPr>
        <w:pStyle w:val="FootnoteText"/>
      </w:pPr>
      <w:r>
        <w:rPr>
          <w:rStyle w:val="FootnoteReference"/>
        </w:rPr>
        <w:footnoteRef/>
      </w:r>
      <w:r>
        <w:t xml:space="preserve"> </w:t>
      </w:r>
      <w:r w:rsidRPr="00AA4EF9">
        <w:rPr>
          <w:rFonts w:eastAsiaTheme="minorEastAsia"/>
          <w:sz w:val="20"/>
          <w:szCs w:val="20"/>
          <w:lang w:eastAsia="ja-JP"/>
        </w:rPr>
        <w:t>Valverde, (2010, 54).</w:t>
      </w:r>
    </w:p>
  </w:footnote>
  <w:footnote w:id="27">
    <w:p w14:paraId="43E73036" w14:textId="77777777" w:rsidR="00B64A32" w:rsidRDefault="00B64A32" w:rsidP="00AA4EF9">
      <w:pPr>
        <w:pStyle w:val="FootnoteText"/>
      </w:pPr>
      <w:r>
        <w:rPr>
          <w:rStyle w:val="FootnoteReference"/>
        </w:rPr>
        <w:footnoteRef/>
      </w:r>
      <w:r>
        <w:t xml:space="preserve">  </w:t>
      </w:r>
      <w:r w:rsidRPr="00AA4EF9">
        <w:rPr>
          <w:sz w:val="20"/>
          <w:szCs w:val="20"/>
        </w:rPr>
        <w:t>Fine, (2012).</w:t>
      </w:r>
    </w:p>
  </w:footnote>
  <w:footnote w:id="28">
    <w:p w14:paraId="17315EE9" w14:textId="1368CBCF" w:rsidR="00B64A32" w:rsidRDefault="00B64A32" w:rsidP="00AA4EF9">
      <w:pPr>
        <w:pStyle w:val="FootnoteText"/>
      </w:pPr>
      <w:r>
        <w:rPr>
          <w:rStyle w:val="FootnoteReference"/>
        </w:rPr>
        <w:footnoteRef/>
      </w:r>
      <w:r>
        <w:t xml:space="preserve"> </w:t>
      </w:r>
      <w:r w:rsidRPr="00FD7461">
        <w:rPr>
          <w:rFonts w:eastAsiaTheme="minorEastAsia"/>
          <w:sz w:val="20"/>
          <w:szCs w:val="20"/>
          <w:lang w:eastAsia="ja-JP"/>
        </w:rPr>
        <w:t>Swidler (1986, 273).</w:t>
      </w:r>
    </w:p>
  </w:footnote>
  <w:footnote w:id="29">
    <w:p w14:paraId="5C12DB92" w14:textId="12A9505A" w:rsidR="00B64A32" w:rsidRDefault="00B64A32" w:rsidP="00AA4EF9">
      <w:pPr>
        <w:pStyle w:val="FootnoteText"/>
      </w:pPr>
      <w:r>
        <w:rPr>
          <w:rStyle w:val="FootnoteReference"/>
        </w:rPr>
        <w:footnoteRef/>
      </w:r>
      <w:r>
        <w:t xml:space="preserve"> </w:t>
      </w:r>
      <w:r w:rsidRPr="00A75105">
        <w:rPr>
          <w:sz w:val="20"/>
          <w:szCs w:val="20"/>
        </w:rPr>
        <w:t xml:space="preserve">Fine </w:t>
      </w:r>
      <w:r w:rsidRPr="00A75105">
        <w:rPr>
          <w:rFonts w:eastAsiaTheme="minorEastAsia"/>
          <w:sz w:val="20"/>
          <w:szCs w:val="20"/>
          <w:lang w:eastAsia="ja-JP"/>
        </w:rPr>
        <w:t>(2012, 78)</w:t>
      </w:r>
      <w:r w:rsidR="00A75105" w:rsidRPr="00A75105">
        <w:rPr>
          <w:rFonts w:eastAsiaTheme="minorEastAsia"/>
          <w:sz w:val="20"/>
          <w:szCs w:val="20"/>
          <w:lang w:eastAsia="ja-JP"/>
        </w:rPr>
        <w:t>.</w:t>
      </w:r>
    </w:p>
  </w:footnote>
  <w:footnote w:id="30">
    <w:p w14:paraId="5A7E6274" w14:textId="77777777" w:rsidR="00B64A32" w:rsidRDefault="00B64A32" w:rsidP="00AA4EF9">
      <w:pPr>
        <w:pStyle w:val="FootnoteText"/>
      </w:pPr>
      <w:r>
        <w:rPr>
          <w:rStyle w:val="FootnoteReference"/>
        </w:rPr>
        <w:footnoteRef/>
      </w:r>
      <w:r>
        <w:t xml:space="preserve"> </w:t>
      </w:r>
      <w:r w:rsidRPr="00C00131">
        <w:rPr>
          <w:rFonts w:eastAsiaTheme="minorEastAsia"/>
          <w:sz w:val="20"/>
          <w:szCs w:val="20"/>
          <w:lang w:eastAsia="ja-JP"/>
        </w:rPr>
        <w:t>See Lynch and Omori, 2014.</w:t>
      </w:r>
    </w:p>
  </w:footnote>
  <w:footnote w:id="31">
    <w:p w14:paraId="526688A7" w14:textId="6F1FF23B" w:rsidR="00B64A32" w:rsidRDefault="00B64A32">
      <w:pPr>
        <w:pStyle w:val="FootnoteText"/>
      </w:pPr>
      <w:r>
        <w:rPr>
          <w:rStyle w:val="FootnoteReference"/>
        </w:rPr>
        <w:footnoteRef/>
      </w:r>
      <w:r>
        <w:t xml:space="preserve"> </w:t>
      </w:r>
      <w:r w:rsidRPr="002B5304">
        <w:rPr>
          <w:sz w:val="20"/>
          <w:szCs w:val="20"/>
        </w:rPr>
        <w:t>e.g., Provine, 2007; Musto &amp; Korsmeyer, 2002; and Murakawa, 2014 more generally on federal criminal law-making.</w:t>
      </w:r>
    </w:p>
  </w:footnote>
  <w:footnote w:id="32">
    <w:p w14:paraId="7302B1BE" w14:textId="41E55A4E" w:rsidR="00B64A32" w:rsidRDefault="00B64A32">
      <w:pPr>
        <w:pStyle w:val="FootnoteText"/>
      </w:pPr>
      <w:r>
        <w:rPr>
          <w:rStyle w:val="FootnoteReference"/>
        </w:rPr>
        <w:footnoteRef/>
      </w:r>
      <w:r>
        <w:t xml:space="preserve"> </w:t>
      </w:r>
      <w:r w:rsidRPr="002B5304">
        <w:rPr>
          <w:sz w:val="20"/>
          <w:szCs w:val="20"/>
        </w:rPr>
        <w:t>NOTE: It was also part of my initial agreement with the defenders’ offices to keep the location confidential. At least one of the offices was happy to have the district named, and the other will reconsider once they have a sense of whether there is anything that could harm their clients in the contents of this book.</w:t>
      </w:r>
      <w: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F3AD22" w14:textId="620F36AD" w:rsidR="00B64A32" w:rsidRPr="00AC32FE" w:rsidRDefault="00B64A32" w:rsidP="00AC32FE">
    <w:pPr>
      <w:pStyle w:val="Header"/>
      <w:jc w:val="right"/>
      <w:rPr>
        <w:i/>
      </w:rPr>
    </w:pPr>
    <w:r w:rsidRPr="00AC32FE">
      <w:rPr>
        <w:i/>
      </w:rPr>
      <w:t>Mona Lynch</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7"/>
  <w:embedSystemFonts/>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44FA"/>
    <w:rsid w:val="000115EB"/>
    <w:rsid w:val="00013663"/>
    <w:rsid w:val="000175F5"/>
    <w:rsid w:val="000272C5"/>
    <w:rsid w:val="00030001"/>
    <w:rsid w:val="00030704"/>
    <w:rsid w:val="000366ED"/>
    <w:rsid w:val="00042760"/>
    <w:rsid w:val="0004521D"/>
    <w:rsid w:val="00050F54"/>
    <w:rsid w:val="00060755"/>
    <w:rsid w:val="000742FA"/>
    <w:rsid w:val="00086496"/>
    <w:rsid w:val="00087CFA"/>
    <w:rsid w:val="000913F4"/>
    <w:rsid w:val="00095A0E"/>
    <w:rsid w:val="000C723A"/>
    <w:rsid w:val="000C7470"/>
    <w:rsid w:val="000D1A4D"/>
    <w:rsid w:val="000D3494"/>
    <w:rsid w:val="000E0DB1"/>
    <w:rsid w:val="000F44FA"/>
    <w:rsid w:val="001126C0"/>
    <w:rsid w:val="00123C0C"/>
    <w:rsid w:val="0013389E"/>
    <w:rsid w:val="00142A6B"/>
    <w:rsid w:val="001621E9"/>
    <w:rsid w:val="00177B31"/>
    <w:rsid w:val="0019217D"/>
    <w:rsid w:val="001A35D6"/>
    <w:rsid w:val="001A3A51"/>
    <w:rsid w:val="001A527D"/>
    <w:rsid w:val="001B2FCA"/>
    <w:rsid w:val="001C5DF6"/>
    <w:rsid w:val="001D615B"/>
    <w:rsid w:val="001E13F6"/>
    <w:rsid w:val="002067D0"/>
    <w:rsid w:val="0020714B"/>
    <w:rsid w:val="00211427"/>
    <w:rsid w:val="002271C4"/>
    <w:rsid w:val="0024405A"/>
    <w:rsid w:val="00245973"/>
    <w:rsid w:val="002615D8"/>
    <w:rsid w:val="0027197A"/>
    <w:rsid w:val="00275022"/>
    <w:rsid w:val="0029795F"/>
    <w:rsid w:val="002A0092"/>
    <w:rsid w:val="002A70DC"/>
    <w:rsid w:val="002B5304"/>
    <w:rsid w:val="002D6457"/>
    <w:rsid w:val="002E462B"/>
    <w:rsid w:val="002E473C"/>
    <w:rsid w:val="003049C0"/>
    <w:rsid w:val="00306FF9"/>
    <w:rsid w:val="003149D1"/>
    <w:rsid w:val="00314C48"/>
    <w:rsid w:val="00320AAB"/>
    <w:rsid w:val="00323487"/>
    <w:rsid w:val="00342F0C"/>
    <w:rsid w:val="00350F02"/>
    <w:rsid w:val="0035449A"/>
    <w:rsid w:val="003638F7"/>
    <w:rsid w:val="00366160"/>
    <w:rsid w:val="00380185"/>
    <w:rsid w:val="00382611"/>
    <w:rsid w:val="003952FB"/>
    <w:rsid w:val="00396557"/>
    <w:rsid w:val="00396639"/>
    <w:rsid w:val="003A243C"/>
    <w:rsid w:val="003A5790"/>
    <w:rsid w:val="003B0E9D"/>
    <w:rsid w:val="003B3392"/>
    <w:rsid w:val="003E7511"/>
    <w:rsid w:val="003F2536"/>
    <w:rsid w:val="00411C35"/>
    <w:rsid w:val="00411E4B"/>
    <w:rsid w:val="00412438"/>
    <w:rsid w:val="00422C78"/>
    <w:rsid w:val="004316BE"/>
    <w:rsid w:val="00432DCB"/>
    <w:rsid w:val="004330F9"/>
    <w:rsid w:val="0043733E"/>
    <w:rsid w:val="00440F73"/>
    <w:rsid w:val="004418F6"/>
    <w:rsid w:val="00444306"/>
    <w:rsid w:val="004532EA"/>
    <w:rsid w:val="0045397C"/>
    <w:rsid w:val="00454EA8"/>
    <w:rsid w:val="004562CA"/>
    <w:rsid w:val="00476833"/>
    <w:rsid w:val="00482F62"/>
    <w:rsid w:val="004845D2"/>
    <w:rsid w:val="00486639"/>
    <w:rsid w:val="00487C4A"/>
    <w:rsid w:val="004917CF"/>
    <w:rsid w:val="004A14BE"/>
    <w:rsid w:val="004C6A96"/>
    <w:rsid w:val="004D06DD"/>
    <w:rsid w:val="004E4FA4"/>
    <w:rsid w:val="004F0143"/>
    <w:rsid w:val="004F607C"/>
    <w:rsid w:val="004F7369"/>
    <w:rsid w:val="00516519"/>
    <w:rsid w:val="0052063C"/>
    <w:rsid w:val="00526D46"/>
    <w:rsid w:val="005303EF"/>
    <w:rsid w:val="0053439B"/>
    <w:rsid w:val="00543925"/>
    <w:rsid w:val="00565C8B"/>
    <w:rsid w:val="00577D13"/>
    <w:rsid w:val="00581FAC"/>
    <w:rsid w:val="005A0FE4"/>
    <w:rsid w:val="005D07F1"/>
    <w:rsid w:val="005E0667"/>
    <w:rsid w:val="005F34C1"/>
    <w:rsid w:val="005F3E71"/>
    <w:rsid w:val="00610879"/>
    <w:rsid w:val="006226BF"/>
    <w:rsid w:val="00626FB4"/>
    <w:rsid w:val="006304B5"/>
    <w:rsid w:val="00633C45"/>
    <w:rsid w:val="00634744"/>
    <w:rsid w:val="006350CB"/>
    <w:rsid w:val="00644AAB"/>
    <w:rsid w:val="0064688C"/>
    <w:rsid w:val="00646B88"/>
    <w:rsid w:val="0065151D"/>
    <w:rsid w:val="00655530"/>
    <w:rsid w:val="0066018C"/>
    <w:rsid w:val="0067206B"/>
    <w:rsid w:val="00681CC4"/>
    <w:rsid w:val="00691584"/>
    <w:rsid w:val="006B1C09"/>
    <w:rsid w:val="006B67CF"/>
    <w:rsid w:val="006C0867"/>
    <w:rsid w:val="006D0698"/>
    <w:rsid w:val="006D1767"/>
    <w:rsid w:val="006D608D"/>
    <w:rsid w:val="006F60FA"/>
    <w:rsid w:val="007045CA"/>
    <w:rsid w:val="007055BD"/>
    <w:rsid w:val="007159F8"/>
    <w:rsid w:val="00725D16"/>
    <w:rsid w:val="007346F2"/>
    <w:rsid w:val="00762A80"/>
    <w:rsid w:val="00765751"/>
    <w:rsid w:val="007B6819"/>
    <w:rsid w:val="007D6464"/>
    <w:rsid w:val="007D6BA9"/>
    <w:rsid w:val="007D7A87"/>
    <w:rsid w:val="007F1B2D"/>
    <w:rsid w:val="008016D9"/>
    <w:rsid w:val="00830913"/>
    <w:rsid w:val="00837B27"/>
    <w:rsid w:val="00861A4B"/>
    <w:rsid w:val="0086615E"/>
    <w:rsid w:val="0088397A"/>
    <w:rsid w:val="00885D82"/>
    <w:rsid w:val="00893F82"/>
    <w:rsid w:val="00897D40"/>
    <w:rsid w:val="008A0DDC"/>
    <w:rsid w:val="008A5495"/>
    <w:rsid w:val="008A79AC"/>
    <w:rsid w:val="008B0C9F"/>
    <w:rsid w:val="008D103D"/>
    <w:rsid w:val="008D3E3A"/>
    <w:rsid w:val="00904F7B"/>
    <w:rsid w:val="009105C1"/>
    <w:rsid w:val="00913CDF"/>
    <w:rsid w:val="00914302"/>
    <w:rsid w:val="00920F19"/>
    <w:rsid w:val="0093179C"/>
    <w:rsid w:val="009667C4"/>
    <w:rsid w:val="009843EC"/>
    <w:rsid w:val="009C42A9"/>
    <w:rsid w:val="009E1310"/>
    <w:rsid w:val="00A01F33"/>
    <w:rsid w:val="00A03513"/>
    <w:rsid w:val="00A04CA2"/>
    <w:rsid w:val="00A16E0A"/>
    <w:rsid w:val="00A33A89"/>
    <w:rsid w:val="00A422DC"/>
    <w:rsid w:val="00A42574"/>
    <w:rsid w:val="00A455D1"/>
    <w:rsid w:val="00A73A4F"/>
    <w:rsid w:val="00A75105"/>
    <w:rsid w:val="00A82521"/>
    <w:rsid w:val="00AA122D"/>
    <w:rsid w:val="00AA4EF9"/>
    <w:rsid w:val="00AA656F"/>
    <w:rsid w:val="00AC0C2B"/>
    <w:rsid w:val="00AC32FE"/>
    <w:rsid w:val="00AC35A8"/>
    <w:rsid w:val="00AE0F10"/>
    <w:rsid w:val="00AF6547"/>
    <w:rsid w:val="00B03013"/>
    <w:rsid w:val="00B053FF"/>
    <w:rsid w:val="00B05D97"/>
    <w:rsid w:val="00B23CF0"/>
    <w:rsid w:val="00B36403"/>
    <w:rsid w:val="00B4070C"/>
    <w:rsid w:val="00B44DDD"/>
    <w:rsid w:val="00B633DF"/>
    <w:rsid w:val="00B64A32"/>
    <w:rsid w:val="00B72137"/>
    <w:rsid w:val="00B76AC0"/>
    <w:rsid w:val="00B80165"/>
    <w:rsid w:val="00B859D7"/>
    <w:rsid w:val="00B92B6D"/>
    <w:rsid w:val="00B97024"/>
    <w:rsid w:val="00BD3982"/>
    <w:rsid w:val="00BD40BE"/>
    <w:rsid w:val="00BD6F87"/>
    <w:rsid w:val="00BE56AF"/>
    <w:rsid w:val="00BE75F9"/>
    <w:rsid w:val="00BF09F5"/>
    <w:rsid w:val="00C00131"/>
    <w:rsid w:val="00C02EC0"/>
    <w:rsid w:val="00C136BB"/>
    <w:rsid w:val="00C15740"/>
    <w:rsid w:val="00C23F34"/>
    <w:rsid w:val="00C34219"/>
    <w:rsid w:val="00C42480"/>
    <w:rsid w:val="00C50DA7"/>
    <w:rsid w:val="00C63143"/>
    <w:rsid w:val="00C6465B"/>
    <w:rsid w:val="00C71E8B"/>
    <w:rsid w:val="00C75FAF"/>
    <w:rsid w:val="00C82065"/>
    <w:rsid w:val="00C82B86"/>
    <w:rsid w:val="00C9005C"/>
    <w:rsid w:val="00CA48E3"/>
    <w:rsid w:val="00CC4878"/>
    <w:rsid w:val="00CD5350"/>
    <w:rsid w:val="00CD591D"/>
    <w:rsid w:val="00D00505"/>
    <w:rsid w:val="00D23111"/>
    <w:rsid w:val="00D23C79"/>
    <w:rsid w:val="00D270B9"/>
    <w:rsid w:val="00D61AED"/>
    <w:rsid w:val="00D62F50"/>
    <w:rsid w:val="00D70322"/>
    <w:rsid w:val="00D926D2"/>
    <w:rsid w:val="00D93710"/>
    <w:rsid w:val="00DB53F8"/>
    <w:rsid w:val="00DB5B48"/>
    <w:rsid w:val="00DB7261"/>
    <w:rsid w:val="00DC595B"/>
    <w:rsid w:val="00DD03D3"/>
    <w:rsid w:val="00DE58E5"/>
    <w:rsid w:val="00DF05EC"/>
    <w:rsid w:val="00DF748A"/>
    <w:rsid w:val="00E06FF3"/>
    <w:rsid w:val="00E418E5"/>
    <w:rsid w:val="00E44FD7"/>
    <w:rsid w:val="00E45FBF"/>
    <w:rsid w:val="00E600E3"/>
    <w:rsid w:val="00E718C9"/>
    <w:rsid w:val="00E879D3"/>
    <w:rsid w:val="00E94C6C"/>
    <w:rsid w:val="00EA0F1B"/>
    <w:rsid w:val="00EA69BC"/>
    <w:rsid w:val="00EB1AA4"/>
    <w:rsid w:val="00EB2408"/>
    <w:rsid w:val="00EE3D10"/>
    <w:rsid w:val="00EE6B13"/>
    <w:rsid w:val="00EF5018"/>
    <w:rsid w:val="00F0407E"/>
    <w:rsid w:val="00F11CCA"/>
    <w:rsid w:val="00F15CB5"/>
    <w:rsid w:val="00F23187"/>
    <w:rsid w:val="00F3022E"/>
    <w:rsid w:val="00F43E8B"/>
    <w:rsid w:val="00F50DD5"/>
    <w:rsid w:val="00F821C2"/>
    <w:rsid w:val="00F8364C"/>
    <w:rsid w:val="00FB3F67"/>
    <w:rsid w:val="00FC07D5"/>
    <w:rsid w:val="00FD7461"/>
    <w:rsid w:val="00FE5907"/>
    <w:rsid w:val="00FF3678"/>
    <w:rsid w:val="00FF4EE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9A7B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FA"/>
    <w:pPr>
      <w:spacing w:after="0"/>
    </w:pPr>
    <w:rPr>
      <w:rFonts w:ascii="Times" w:eastAsia="Times" w:hAnsi="Times" w:cs="Times New Roman"/>
      <w:szCs w:val="20"/>
      <w:lang w:eastAsia="en-US"/>
    </w:rPr>
  </w:style>
  <w:style w:type="paragraph" w:styleId="Heading1">
    <w:name w:val="heading 1"/>
    <w:basedOn w:val="Normal"/>
    <w:link w:val="Heading1Char"/>
    <w:uiPriority w:val="9"/>
    <w:qFormat/>
    <w:rsid w:val="006304B5"/>
    <w:pPr>
      <w:spacing w:before="100" w:beforeAutospacing="1" w:after="100" w:afterAutospacing="1"/>
      <w:outlineLvl w:val="0"/>
    </w:pPr>
    <w:rPr>
      <w:rFonts w:eastAsiaTheme="minorEastAsia"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F44FA"/>
    <w:rPr>
      <w:rFonts w:ascii="Courier New" w:hAnsi="Courier New"/>
      <w:sz w:val="20"/>
    </w:rPr>
  </w:style>
  <w:style w:type="character" w:customStyle="1" w:styleId="PlainTextChar">
    <w:name w:val="Plain Text Char"/>
    <w:basedOn w:val="DefaultParagraphFont"/>
    <w:link w:val="PlainText"/>
    <w:rsid w:val="000F44FA"/>
    <w:rPr>
      <w:rFonts w:ascii="Courier New" w:eastAsia="Times" w:hAnsi="Courier New" w:cs="Times New Roman"/>
      <w:sz w:val="20"/>
      <w:szCs w:val="20"/>
      <w:lang w:eastAsia="en-US"/>
    </w:rPr>
  </w:style>
  <w:style w:type="paragraph" w:styleId="FootnoteText">
    <w:name w:val="footnote text"/>
    <w:basedOn w:val="Normal"/>
    <w:link w:val="FootnoteTextChar"/>
    <w:uiPriority w:val="99"/>
    <w:unhideWhenUsed/>
    <w:rsid w:val="000F44FA"/>
    <w:rPr>
      <w:rFonts w:ascii="Times New Roman" w:eastAsiaTheme="minorHAnsi" w:hAnsi="Times New Roman" w:cstheme="minorBidi"/>
      <w:szCs w:val="24"/>
    </w:rPr>
  </w:style>
  <w:style w:type="character" w:customStyle="1" w:styleId="FootnoteTextChar">
    <w:name w:val="Footnote Text Char"/>
    <w:basedOn w:val="DefaultParagraphFont"/>
    <w:link w:val="FootnoteText"/>
    <w:uiPriority w:val="99"/>
    <w:rsid w:val="000F44FA"/>
    <w:rPr>
      <w:rFonts w:ascii="Times New Roman" w:eastAsiaTheme="minorHAnsi" w:hAnsi="Times New Roman"/>
      <w:lang w:eastAsia="en-US"/>
    </w:rPr>
  </w:style>
  <w:style w:type="character" w:styleId="FootnoteReference">
    <w:name w:val="footnote reference"/>
    <w:basedOn w:val="DefaultParagraphFont"/>
    <w:uiPriority w:val="99"/>
    <w:unhideWhenUsed/>
    <w:rsid w:val="000F44FA"/>
    <w:rPr>
      <w:vertAlign w:val="superscript"/>
    </w:rPr>
  </w:style>
  <w:style w:type="character" w:customStyle="1" w:styleId="Heading1Char">
    <w:name w:val="Heading 1 Char"/>
    <w:basedOn w:val="DefaultParagraphFont"/>
    <w:link w:val="Heading1"/>
    <w:uiPriority w:val="9"/>
    <w:rsid w:val="006304B5"/>
    <w:rPr>
      <w:rFonts w:ascii="Times" w:hAnsi="Times"/>
      <w:b/>
      <w:bCs/>
      <w:kern w:val="36"/>
      <w:sz w:val="48"/>
      <w:szCs w:val="48"/>
      <w:lang w:eastAsia="en-US"/>
    </w:rPr>
  </w:style>
  <w:style w:type="character" w:styleId="Hyperlink">
    <w:name w:val="Hyperlink"/>
    <w:basedOn w:val="DefaultParagraphFont"/>
    <w:uiPriority w:val="99"/>
    <w:unhideWhenUsed/>
    <w:rsid w:val="006304B5"/>
    <w:rPr>
      <w:color w:val="0000FF" w:themeColor="hyperlink"/>
      <w:u w:val="single"/>
    </w:rPr>
  </w:style>
  <w:style w:type="paragraph" w:styleId="Header">
    <w:name w:val="header"/>
    <w:basedOn w:val="Normal"/>
    <w:link w:val="HeaderChar"/>
    <w:uiPriority w:val="99"/>
    <w:unhideWhenUsed/>
    <w:rsid w:val="00AC32FE"/>
    <w:pPr>
      <w:tabs>
        <w:tab w:val="center" w:pos="4320"/>
        <w:tab w:val="right" w:pos="8640"/>
      </w:tabs>
    </w:pPr>
  </w:style>
  <w:style w:type="character" w:customStyle="1" w:styleId="HeaderChar">
    <w:name w:val="Header Char"/>
    <w:basedOn w:val="DefaultParagraphFont"/>
    <w:link w:val="Header"/>
    <w:uiPriority w:val="99"/>
    <w:rsid w:val="00AC32FE"/>
    <w:rPr>
      <w:rFonts w:ascii="Times" w:eastAsia="Times" w:hAnsi="Times" w:cs="Times New Roman"/>
      <w:szCs w:val="20"/>
      <w:lang w:eastAsia="en-US"/>
    </w:rPr>
  </w:style>
  <w:style w:type="paragraph" w:styleId="Footer">
    <w:name w:val="footer"/>
    <w:basedOn w:val="Normal"/>
    <w:link w:val="FooterChar"/>
    <w:uiPriority w:val="99"/>
    <w:unhideWhenUsed/>
    <w:rsid w:val="00AC32FE"/>
    <w:pPr>
      <w:tabs>
        <w:tab w:val="center" w:pos="4320"/>
        <w:tab w:val="right" w:pos="8640"/>
      </w:tabs>
    </w:pPr>
  </w:style>
  <w:style w:type="character" w:customStyle="1" w:styleId="FooterChar">
    <w:name w:val="Footer Char"/>
    <w:basedOn w:val="DefaultParagraphFont"/>
    <w:link w:val="Footer"/>
    <w:uiPriority w:val="99"/>
    <w:rsid w:val="00AC32FE"/>
    <w:rPr>
      <w:rFonts w:ascii="Times" w:eastAsia="Times" w:hAnsi="Times" w:cs="Times New Roman"/>
      <w:szCs w:val="20"/>
      <w:lang w:eastAsia="en-US"/>
    </w:rPr>
  </w:style>
  <w:style w:type="character" w:styleId="PageNumber">
    <w:name w:val="page number"/>
    <w:basedOn w:val="DefaultParagraphFont"/>
    <w:uiPriority w:val="99"/>
    <w:semiHidden/>
    <w:unhideWhenUsed/>
    <w:rsid w:val="00AC32F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F44FA"/>
    <w:pPr>
      <w:spacing w:after="0"/>
    </w:pPr>
    <w:rPr>
      <w:rFonts w:ascii="Times" w:eastAsia="Times" w:hAnsi="Times" w:cs="Times New Roman"/>
      <w:szCs w:val="20"/>
      <w:lang w:eastAsia="en-US"/>
    </w:rPr>
  </w:style>
  <w:style w:type="paragraph" w:styleId="Heading1">
    <w:name w:val="heading 1"/>
    <w:basedOn w:val="Normal"/>
    <w:link w:val="Heading1Char"/>
    <w:uiPriority w:val="9"/>
    <w:qFormat/>
    <w:rsid w:val="006304B5"/>
    <w:pPr>
      <w:spacing w:before="100" w:beforeAutospacing="1" w:after="100" w:afterAutospacing="1"/>
      <w:outlineLvl w:val="0"/>
    </w:pPr>
    <w:rPr>
      <w:rFonts w:eastAsiaTheme="minorEastAsia" w:cstheme="minorBidi"/>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rsid w:val="000F44FA"/>
    <w:rPr>
      <w:rFonts w:ascii="Courier New" w:hAnsi="Courier New"/>
      <w:sz w:val="20"/>
    </w:rPr>
  </w:style>
  <w:style w:type="character" w:customStyle="1" w:styleId="PlainTextChar">
    <w:name w:val="Plain Text Char"/>
    <w:basedOn w:val="DefaultParagraphFont"/>
    <w:link w:val="PlainText"/>
    <w:rsid w:val="000F44FA"/>
    <w:rPr>
      <w:rFonts w:ascii="Courier New" w:eastAsia="Times" w:hAnsi="Courier New" w:cs="Times New Roman"/>
      <w:sz w:val="20"/>
      <w:szCs w:val="20"/>
      <w:lang w:eastAsia="en-US"/>
    </w:rPr>
  </w:style>
  <w:style w:type="paragraph" w:styleId="FootnoteText">
    <w:name w:val="footnote text"/>
    <w:basedOn w:val="Normal"/>
    <w:link w:val="FootnoteTextChar"/>
    <w:uiPriority w:val="99"/>
    <w:unhideWhenUsed/>
    <w:rsid w:val="000F44FA"/>
    <w:rPr>
      <w:rFonts w:ascii="Times New Roman" w:eastAsiaTheme="minorHAnsi" w:hAnsi="Times New Roman" w:cstheme="minorBidi"/>
      <w:szCs w:val="24"/>
    </w:rPr>
  </w:style>
  <w:style w:type="character" w:customStyle="1" w:styleId="FootnoteTextChar">
    <w:name w:val="Footnote Text Char"/>
    <w:basedOn w:val="DefaultParagraphFont"/>
    <w:link w:val="FootnoteText"/>
    <w:uiPriority w:val="99"/>
    <w:rsid w:val="000F44FA"/>
    <w:rPr>
      <w:rFonts w:ascii="Times New Roman" w:eastAsiaTheme="minorHAnsi" w:hAnsi="Times New Roman"/>
      <w:lang w:eastAsia="en-US"/>
    </w:rPr>
  </w:style>
  <w:style w:type="character" w:styleId="FootnoteReference">
    <w:name w:val="footnote reference"/>
    <w:basedOn w:val="DefaultParagraphFont"/>
    <w:uiPriority w:val="99"/>
    <w:unhideWhenUsed/>
    <w:rsid w:val="000F44FA"/>
    <w:rPr>
      <w:vertAlign w:val="superscript"/>
    </w:rPr>
  </w:style>
  <w:style w:type="character" w:customStyle="1" w:styleId="Heading1Char">
    <w:name w:val="Heading 1 Char"/>
    <w:basedOn w:val="DefaultParagraphFont"/>
    <w:link w:val="Heading1"/>
    <w:uiPriority w:val="9"/>
    <w:rsid w:val="006304B5"/>
    <w:rPr>
      <w:rFonts w:ascii="Times" w:hAnsi="Times"/>
      <w:b/>
      <w:bCs/>
      <w:kern w:val="36"/>
      <w:sz w:val="48"/>
      <w:szCs w:val="48"/>
      <w:lang w:eastAsia="en-US"/>
    </w:rPr>
  </w:style>
  <w:style w:type="character" w:styleId="Hyperlink">
    <w:name w:val="Hyperlink"/>
    <w:basedOn w:val="DefaultParagraphFont"/>
    <w:uiPriority w:val="99"/>
    <w:unhideWhenUsed/>
    <w:rsid w:val="006304B5"/>
    <w:rPr>
      <w:color w:val="0000FF" w:themeColor="hyperlink"/>
      <w:u w:val="single"/>
    </w:rPr>
  </w:style>
  <w:style w:type="paragraph" w:styleId="Header">
    <w:name w:val="header"/>
    <w:basedOn w:val="Normal"/>
    <w:link w:val="HeaderChar"/>
    <w:uiPriority w:val="99"/>
    <w:unhideWhenUsed/>
    <w:rsid w:val="00AC32FE"/>
    <w:pPr>
      <w:tabs>
        <w:tab w:val="center" w:pos="4320"/>
        <w:tab w:val="right" w:pos="8640"/>
      </w:tabs>
    </w:pPr>
  </w:style>
  <w:style w:type="character" w:customStyle="1" w:styleId="HeaderChar">
    <w:name w:val="Header Char"/>
    <w:basedOn w:val="DefaultParagraphFont"/>
    <w:link w:val="Header"/>
    <w:uiPriority w:val="99"/>
    <w:rsid w:val="00AC32FE"/>
    <w:rPr>
      <w:rFonts w:ascii="Times" w:eastAsia="Times" w:hAnsi="Times" w:cs="Times New Roman"/>
      <w:szCs w:val="20"/>
      <w:lang w:eastAsia="en-US"/>
    </w:rPr>
  </w:style>
  <w:style w:type="paragraph" w:styleId="Footer">
    <w:name w:val="footer"/>
    <w:basedOn w:val="Normal"/>
    <w:link w:val="FooterChar"/>
    <w:uiPriority w:val="99"/>
    <w:unhideWhenUsed/>
    <w:rsid w:val="00AC32FE"/>
    <w:pPr>
      <w:tabs>
        <w:tab w:val="center" w:pos="4320"/>
        <w:tab w:val="right" w:pos="8640"/>
      </w:tabs>
    </w:pPr>
  </w:style>
  <w:style w:type="character" w:customStyle="1" w:styleId="FooterChar">
    <w:name w:val="Footer Char"/>
    <w:basedOn w:val="DefaultParagraphFont"/>
    <w:link w:val="Footer"/>
    <w:uiPriority w:val="99"/>
    <w:rsid w:val="00AC32FE"/>
    <w:rPr>
      <w:rFonts w:ascii="Times" w:eastAsia="Times" w:hAnsi="Times" w:cs="Times New Roman"/>
      <w:szCs w:val="20"/>
      <w:lang w:eastAsia="en-US"/>
    </w:rPr>
  </w:style>
  <w:style w:type="character" w:styleId="PageNumber">
    <w:name w:val="page number"/>
    <w:basedOn w:val="DefaultParagraphFont"/>
    <w:uiPriority w:val="99"/>
    <w:semiHidden/>
    <w:unhideWhenUsed/>
    <w:rsid w:val="00AC32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44008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lynchm@uci.edu" TargetMode="External"/><Relationship Id="rId12"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http://www.nytimes.com/2013/08/14/opinion/smarter-sentencing.html?_r=0" TargetMode="External"/><Relationship Id="rId1" Type="http://schemas.openxmlformats.org/officeDocument/2006/relationships/hyperlink" Target="http://www.rightoncrime.com/the-conservative-case-for-reform/statement-of-principl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20</Pages>
  <Words>5584</Words>
  <Characters>31834</Characters>
  <Application>Microsoft Office Word</Application>
  <DocSecurity>0</DocSecurity>
  <Lines>265</Lines>
  <Paragraphs>74</Paragraphs>
  <ScaleCrop>false</ScaleCrop>
  <HeadingPairs>
    <vt:vector size="2" baseType="variant">
      <vt:variant>
        <vt:lpstr>Title</vt:lpstr>
      </vt:variant>
      <vt:variant>
        <vt:i4>1</vt:i4>
      </vt:variant>
    </vt:vector>
  </HeadingPairs>
  <TitlesOfParts>
    <vt:vector size="1" baseType="lpstr">
      <vt:lpstr/>
    </vt:vector>
  </TitlesOfParts>
  <Company>UCI School of Social Ecology</Company>
  <LinksUpToDate>false</LinksUpToDate>
  <CharactersWithSpaces>37344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Mona Lynch</dc:creator>
  <cp:lastModifiedBy>Katie Winograd</cp:lastModifiedBy>
  <cp:revision>2</cp:revision>
  <dcterms:created xsi:type="dcterms:W3CDTF">2015-04-16T20:10:00Z</dcterms:created>
  <dcterms:modified xsi:type="dcterms:W3CDTF">2015-04-16T20:10:00Z</dcterms:modified>
</cp:coreProperties>
</file>